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header2.xml" ContentType="application/vnd.openxmlformats-officedocument.wordprocessingml.head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header3.xml" ContentType="application/vnd.openxmlformats-officedocument.wordprocessingml.header+xml"/>
  <Override PartName="/word/fontTable.xml" ContentType="application/vnd.openxmlformats-officedocument.wordprocessingml.fontTable+xml"/>
  <Override PartName="/word/header4.xml" ContentType="application/vnd.openxmlformats-officedocument.wordprocessingml.head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24"/>
        <w:spacing w:lineRule="auto" w:line="240" w:before="0" w:after="0"/>
        <w:ind w:left="0" w:right="0" w:firstLine="709"/>
        <w:jc w:val="center"/>
        <w:rPr>
          <w:rFonts w:ascii="Times New Roman" w:hAnsi="Times New Roman"/>
          <w:b/>
          <w:b/>
          <w:sz w:val="22"/>
          <w:szCs w:val="22"/>
        </w:rPr>
      </w:pPr>
      <w:r>
        <w:rPr>
          <w:rFonts w:ascii="Times New Roman" w:hAnsi="Times New Roman"/>
          <w:b/>
          <w:sz w:val="22"/>
          <w:szCs w:val="22"/>
        </w:rPr>
        <w:t>ДОГОВОР № 22</w:t>
      </w:r>
    </w:p>
    <w:p>
      <w:pPr>
        <w:pStyle w:val="24"/>
        <w:spacing w:lineRule="auto" w:line="240" w:before="0" w:after="0"/>
        <w:jc w:val="center"/>
        <w:rPr>
          <w:rFonts w:ascii="Times New Roman" w:hAnsi="Times New Roman"/>
          <w:sz w:val="22"/>
          <w:szCs w:val="22"/>
        </w:rPr>
      </w:pPr>
      <w:r>
        <w:rPr>
          <w:rFonts w:ascii="Times New Roman" w:hAnsi="Times New Roman"/>
          <w:sz w:val="22"/>
          <w:szCs w:val="22"/>
        </w:rPr>
        <w:t>на обеспечение оперативного реагирования на сообщения о срабатывании сигнализации</w:t>
      </w:r>
    </w:p>
    <w:p>
      <w:pPr>
        <w:pStyle w:val="24"/>
        <w:spacing w:lineRule="auto" w:line="240" w:before="0" w:after="0"/>
        <w:ind w:left="0" w:right="-28" w:firstLine="709"/>
        <w:jc w:val="right"/>
        <w:rPr>
          <w:rFonts w:ascii="Times New Roman" w:hAnsi="Times New Roman"/>
          <w:sz w:val="22"/>
          <w:szCs w:val="22"/>
        </w:rPr>
      </w:pPr>
      <w:r>
        <w:rPr>
          <w:rFonts w:ascii="Times New Roman" w:hAnsi="Times New Roman"/>
          <w:sz w:val="22"/>
          <w:szCs w:val="22"/>
        </w:rPr>
        <w:t>« 01 » апреля 2025 г.</w:t>
      </w:r>
    </w:p>
    <w:p>
      <w:pPr>
        <w:pStyle w:val="24"/>
        <w:spacing w:lineRule="auto" w:line="240" w:before="0" w:after="0"/>
        <w:ind w:left="0" w:right="-28" w:firstLine="709"/>
        <w:jc w:val="center"/>
        <w:rPr>
          <w:rFonts w:ascii="Times New Roman" w:hAnsi="Times New Roman"/>
          <w:sz w:val="22"/>
          <w:szCs w:val="22"/>
        </w:rPr>
      </w:pPr>
      <w:r>
        <w:rPr>
          <w:rFonts w:ascii="Times New Roman" w:hAnsi="Times New Roman"/>
          <w:sz w:val="22"/>
          <w:szCs w:val="22"/>
        </w:rPr>
      </w:r>
    </w:p>
    <w:p>
      <w:pPr>
        <w:pStyle w:val="24"/>
        <w:spacing w:lineRule="auto" w:line="240" w:before="0" w:after="0"/>
        <w:ind w:left="0" w:right="-28" w:firstLine="709"/>
        <w:jc w:val="both"/>
        <w:rPr>
          <w:rFonts w:ascii="Times New Roman" w:hAnsi="Times New Roman"/>
          <w:sz w:val="22"/>
          <w:szCs w:val="22"/>
        </w:rPr>
      </w:pPr>
      <w:r>
        <w:rPr>
          <w:rFonts w:ascii="Times New Roman" w:hAnsi="Times New Roman"/>
          <w:b/>
          <w:sz w:val="22"/>
          <w:szCs w:val="22"/>
        </w:rPr>
        <w:t>Федеральное государственное казенное учреждение «Управление вневедомственной охраны войск национальной гвардии Российской Федерации по Республике Татарстан (Татарстан)»</w:t>
      </w:r>
      <w:r>
        <w:rPr>
          <w:rFonts w:ascii="Times New Roman" w:hAnsi="Times New Roman"/>
          <w:sz w:val="22"/>
          <w:szCs w:val="22"/>
        </w:rPr>
        <w:t xml:space="preserve">, именуемое в дальнейшем «Сторона 1», в лице заместителя начальника Салахиева Марата Фидаиловича______________, действующего на основании ____________ с одной стороны, и </w:t>
      </w:r>
      <w:r>
        <w:rPr>
          <w:rFonts w:ascii="Times New Roman" w:hAnsi="Times New Roman"/>
          <w:b/>
          <w:sz w:val="22"/>
          <w:szCs w:val="22"/>
        </w:rPr>
        <w:t>_________________</w:t>
      </w:r>
      <w:r>
        <w:rPr>
          <w:rFonts w:cs="Times New Roman" w:ascii="Times New Roman" w:hAnsi="Times New Roman"/>
          <w:b/>
          <w:sz w:val="22"/>
          <w:szCs w:val="22"/>
        </w:rPr>
        <w:t>,</w:t>
      </w:r>
      <w:r>
        <w:rPr>
          <w:rFonts w:eastAsia="Calibri" w:cs="Times New Roman" w:ascii="Times New Roman" w:hAnsi="Times New Roman"/>
          <w:sz w:val="22"/>
          <w:szCs w:val="22"/>
          <w:lang w:eastAsia="en-US"/>
        </w:rPr>
        <w:t xml:space="preserve"> </w:t>
      </w:r>
      <w:r>
        <w:rPr>
          <w:rFonts w:ascii="Times New Roman" w:hAnsi="Times New Roman"/>
          <w:sz w:val="22"/>
          <w:szCs w:val="22"/>
        </w:rPr>
        <w:t xml:space="preserve"> именуемое в дальнейшем «Сторона 2», в лице </w:t>
      </w:r>
      <w:r>
        <w:rPr>
          <w:rFonts w:cs="Times New Roman" w:ascii="Times New Roman" w:hAnsi="Times New Roman"/>
          <w:sz w:val="22"/>
          <w:szCs w:val="22"/>
        </w:rPr>
        <w:t>_______________</w:t>
      </w:r>
      <w:r>
        <w:rPr>
          <w:rFonts w:ascii="Times New Roman" w:hAnsi="Times New Roman"/>
          <w:sz w:val="22"/>
          <w:szCs w:val="22"/>
        </w:rPr>
        <w:t>,</w:t>
      </w:r>
      <w:r>
        <w:rPr>
          <w:rFonts w:eastAsia="Calibri" w:cs="Times New Roman" w:ascii="Times New Roman" w:hAnsi="Times New Roman"/>
          <w:sz w:val="22"/>
          <w:szCs w:val="22"/>
          <w:lang w:eastAsia="en-US"/>
        </w:rPr>
        <w:t xml:space="preserve"> действующего на основании___________, с другой стороны</w:t>
      </w:r>
      <w:r>
        <w:rPr>
          <w:rFonts w:ascii="Times New Roman" w:hAnsi="Times New Roman"/>
          <w:sz w:val="22"/>
          <w:szCs w:val="22"/>
        </w:rPr>
        <w:t>, совместно именуемые «Стороны», заключили настоящий договор о нижеследующем:</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r>
    </w:p>
    <w:p>
      <w:pPr>
        <w:pStyle w:val="24"/>
        <w:numPr>
          <w:ilvl w:val="0"/>
          <w:numId w:val="2"/>
        </w:numPr>
        <w:spacing w:lineRule="auto" w:line="240" w:before="0" w:after="0"/>
        <w:ind w:left="1069" w:right="-28" w:hanging="360"/>
        <w:jc w:val="center"/>
        <w:rPr>
          <w:rFonts w:ascii="Times New Roman" w:hAnsi="Times New Roman"/>
          <w:b/>
          <w:b/>
          <w:sz w:val="22"/>
          <w:szCs w:val="22"/>
        </w:rPr>
      </w:pPr>
      <w:r>
        <w:rPr>
          <w:rFonts w:ascii="Times New Roman" w:hAnsi="Times New Roman"/>
          <w:b/>
          <w:sz w:val="22"/>
          <w:szCs w:val="22"/>
        </w:rPr>
        <w:t>ПРЕДМЕТ ДОГОВОРА</w:t>
      </w:r>
    </w:p>
    <w:p>
      <w:pPr>
        <w:pStyle w:val="24"/>
        <w:spacing w:lineRule="auto" w:line="240" w:before="0" w:after="0"/>
        <w:ind w:left="0" w:right="0" w:firstLine="709"/>
        <w:jc w:val="both"/>
        <w:rPr>
          <w:rFonts w:ascii="Times New Roman" w:hAnsi="Times New Roman"/>
          <w:sz w:val="22"/>
          <w:szCs w:val="22"/>
        </w:rPr>
      </w:pPr>
      <w:r>
        <w:rPr>
          <w:rFonts w:ascii="Times New Roman" w:hAnsi="Times New Roman"/>
          <w:sz w:val="22"/>
          <w:szCs w:val="22"/>
        </w:rPr>
        <w:t>1.1. «Сторона 1» оказывает услуги по оперативному реагированию на сообщения о срабатывании охранной (ОС) и (или) тревожной сигнализации (КТС) (далее - тревожное сообщение), установленной на объектах, принадлежащих третьим лицам, указанных в приложении № 2 к настоящему Договору (далее – объекты), а «Сторона 2» оплачивает эти услуги в соответствии с разделом 6 настоящего Договора.</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1.2. В целях настоящего договора применяются следующие понятия:</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1.2.1. Третьи лица – лица, имеющие законное право владения, пользования, распоряжения и (или) управления имуществом (объектом), на тревожные сообщения с которого осуществляется оперативное реагирование и с которыми «Стороной 2» заключены договоры на охрану.</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1.2.2. Оперативное реагирование на тревожные сообщения (отработка тревожного сообщения) – осуществление «Стороной 1» действий, предусмотренных пунктом 2.1 настоящего договора, при совершении преступлений или административных правонарушений.</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r>
    </w:p>
    <w:p>
      <w:pPr>
        <w:pStyle w:val="24"/>
        <w:spacing w:lineRule="auto" w:line="240" w:before="0" w:after="0"/>
        <w:ind w:left="0" w:right="-28" w:firstLine="709"/>
        <w:jc w:val="center"/>
        <w:rPr>
          <w:rFonts w:ascii="Times New Roman" w:hAnsi="Times New Roman"/>
          <w:b/>
          <w:b/>
          <w:sz w:val="22"/>
          <w:szCs w:val="22"/>
        </w:rPr>
      </w:pPr>
      <w:r>
        <w:rPr>
          <w:rFonts w:ascii="Times New Roman" w:hAnsi="Times New Roman"/>
          <w:b/>
          <w:sz w:val="22"/>
          <w:szCs w:val="22"/>
        </w:rPr>
        <w:t>2. ОБЩИЕ УСЛОВИЯ</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2.1. В рамках исполнения обязательств по настоящему договору «Сторона 1» обеспечивает:</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 xml:space="preserve">2.1.1. Принятие от «Стороны 2» информации о тревожном сообщении, поступающих с объектов, через программно-аппаратный комплекс «Взаимодействие с мониторинговыми компаниями (далее – ПАК ВсМК). </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2.1.2. Прибытие наряда «Стороны 1» на объект, с которого поступило тревожное сообщение.</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2.1.3. В случае отсутствия доступа к объекту для проверки причины поступления тревожного сообщения, в связи с его нахождением внутри другого объекта (торгового центра), «Сторона 1» уведомляет об этом «Сторону 2» и убывает на маршрут патрулирования.</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2.2. В рамках исполнения обязательств по настоящему договору «Сторона 2» обеспечивает:</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 xml:space="preserve">2.2.1. Передачу тревожных сообщений от объектов «Стороне 1», через ПАК ВсМК. </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2.2.2. Оплату услуг «Стороны 1» в соответствии с условиями настоящего договора.</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 xml:space="preserve">2.2.3. </w:t>
      </w:r>
      <w:r>
        <w:rPr>
          <w:rFonts w:cs="Times New Roman" w:ascii="Times New Roman" w:hAnsi="Times New Roman"/>
          <w:sz w:val="22"/>
          <w:szCs w:val="22"/>
        </w:rPr>
        <w:t xml:space="preserve">Прибытие уполномоченных представителей «Стороны 2» </w:t>
      </w:r>
      <w:r>
        <w:rPr>
          <w:rFonts w:ascii="Times New Roman" w:hAnsi="Times New Roman"/>
          <w:sz w:val="22"/>
          <w:szCs w:val="22"/>
        </w:rPr>
        <w:t>или иных уполномоченных лиц</w:t>
      </w:r>
      <w:r>
        <w:rPr>
          <w:rFonts w:cs="Times New Roman" w:ascii="Times New Roman" w:hAnsi="Times New Roman"/>
          <w:sz w:val="22"/>
          <w:szCs w:val="22"/>
        </w:rPr>
        <w:t xml:space="preserve"> на объект в течение 1 часа с момента вызова / сообщения при обнаружении </w:t>
      </w:r>
      <w:r>
        <w:rPr>
          <w:rFonts w:ascii="Times New Roman" w:hAnsi="Times New Roman"/>
          <w:sz w:val="22"/>
          <w:szCs w:val="22"/>
        </w:rPr>
        <w:t>нарядом «Стороны 1»</w:t>
      </w:r>
      <w:r>
        <w:rPr>
          <w:rFonts w:cs="Times New Roman" w:ascii="Times New Roman" w:hAnsi="Times New Roman"/>
          <w:sz w:val="22"/>
          <w:szCs w:val="22"/>
        </w:rPr>
        <w:t xml:space="preserve"> признаков нарушения его целостности</w:t>
      </w:r>
      <w:r>
        <w:rPr>
          <w:rFonts w:ascii="Times New Roman" w:hAnsi="Times New Roman"/>
          <w:sz w:val="22"/>
          <w:szCs w:val="22"/>
        </w:rPr>
        <w:t>.</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2.3. Оперативное реагирование на тревожные сообщения по настоящему договору осуществляется на территории Республики Татарстан, в зоне обслуживания группами задержания филиалов «Стороны 1».</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2.4. «Сторона 1» оставляет за собой право не включать (исключать) в (из) перечень объектов (приложение № 2 к настоящему договору) объекты, на которые время прибытия наряда «Стороны 1» после поступления информации о тревожном сообщении является неэффективным и нецелесообразным для его отработки.</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2.5. В случае одновременного поступления тревожных сообщений с охраняемого «Стороной 1» объекта, и тревожного сообщения с объекта, указанного в приложении № 2 к настоящему договору, наряд «Стороны 1» в первую очередь проводит отработку тревожного сообщения с охраняемого «Стороной 1» объекта.</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2.6. «Сторона 2» гарантирует, что третьи лица извещены о том, что отработку тревожного сообщения, поступившего с объекта, указанного в приложении № 2 к настоящему договору, осуществляет наряд «Стороны 1», к чему претензий и возражений не имеют.</w:t>
      </w:r>
    </w:p>
    <w:p>
      <w:pPr>
        <w:pStyle w:val="Normal"/>
        <w:overflowPunct w:val="false"/>
        <w:spacing w:lineRule="auto" w:line="240" w:before="0" w:after="0"/>
        <w:ind w:left="0" w:right="0" w:firstLine="709"/>
        <w:jc w:val="both"/>
        <w:textAlignment w:val="baseline"/>
        <w:rPr>
          <w:rFonts w:ascii="Times New Roman" w:hAnsi="Times New Roman"/>
          <w:sz w:val="22"/>
          <w:szCs w:val="22"/>
        </w:rPr>
      </w:pPr>
      <w:r>
        <w:rPr>
          <w:rFonts w:cs="Times New Roman" w:ascii="Times New Roman" w:hAnsi="Times New Roman"/>
          <w:bCs/>
          <w:sz w:val="22"/>
          <w:szCs w:val="22"/>
        </w:rPr>
        <w:t>2.7.</w:t>
      </w:r>
      <w:r>
        <w:rPr>
          <w:rFonts w:cs="Times New Roman" w:ascii="Times New Roman" w:hAnsi="Times New Roman"/>
          <w:sz w:val="22"/>
          <w:szCs w:val="22"/>
        </w:rPr>
        <w:t xml:space="preserve"> В случае не прибытия «Стороны 2» или уполномоченного лица третьих лиц по сообщению «Стороны 1» о наличии признаков проникновения, в результате чего «Сторона 1» была вынуждена охранять объект постом «Стороны 1», «Сторона 2» компенсирует затраты, исходя из стоимости поста, указанного в Приложении №1 к договору и затраченного времени на охрану объекта. </w:t>
      </w:r>
      <w:r>
        <w:rPr>
          <w:rFonts w:cs="Times New Roman" w:ascii="Times New Roman" w:hAnsi="Times New Roman"/>
          <w:sz w:val="22"/>
          <w:szCs w:val="22"/>
          <w:shd w:fill="FFFFFF" w:val="clear"/>
        </w:rPr>
        <w:t>Начисление суммы компенсации начинается по истечению первого часа с момента прибытия наряда «Стороны 1» на объект после поступления тревожного сообщения</w:t>
      </w:r>
      <w:r>
        <w:rPr>
          <w:rFonts w:cs="Times New Roman" w:ascii="Times New Roman" w:hAnsi="Times New Roman"/>
          <w:sz w:val="22"/>
          <w:szCs w:val="22"/>
        </w:rPr>
        <w:t>.</w:t>
      </w:r>
    </w:p>
    <w:p>
      <w:pPr>
        <w:pStyle w:val="24"/>
        <w:spacing w:lineRule="auto" w:line="240" w:before="0" w:after="0"/>
        <w:ind w:left="0" w:right="-28" w:firstLine="709"/>
        <w:jc w:val="center"/>
        <w:rPr>
          <w:rFonts w:ascii="Times New Roman" w:hAnsi="Times New Roman" w:cs="Times New Roman"/>
          <w:b/>
          <w:b/>
          <w:sz w:val="22"/>
          <w:szCs w:val="22"/>
        </w:rPr>
      </w:pPr>
      <w:r>
        <w:rPr>
          <w:rFonts w:cs="Times New Roman" w:ascii="Times New Roman" w:hAnsi="Times New Roman"/>
          <w:b/>
          <w:sz w:val="22"/>
          <w:szCs w:val="22"/>
        </w:rPr>
      </w:r>
    </w:p>
    <w:p>
      <w:pPr>
        <w:pStyle w:val="24"/>
        <w:spacing w:lineRule="auto" w:line="240" w:before="0" w:after="0"/>
        <w:ind w:left="0" w:right="-28" w:firstLine="709"/>
        <w:jc w:val="center"/>
        <w:rPr>
          <w:rFonts w:ascii="Times New Roman" w:hAnsi="Times New Roman"/>
          <w:b/>
          <w:b/>
          <w:sz w:val="22"/>
          <w:szCs w:val="22"/>
        </w:rPr>
      </w:pPr>
      <w:r>
        <w:rPr>
          <w:rFonts w:ascii="Times New Roman" w:hAnsi="Times New Roman"/>
          <w:b/>
          <w:sz w:val="22"/>
          <w:szCs w:val="22"/>
        </w:rPr>
        <w:t>3. ОБЯЗАННОСТИ СТОРОН</w:t>
      </w:r>
    </w:p>
    <w:p>
      <w:pPr>
        <w:pStyle w:val="24"/>
        <w:spacing w:lineRule="auto" w:line="240" w:before="0" w:after="0"/>
        <w:ind w:left="0" w:right="-28" w:firstLine="709"/>
        <w:jc w:val="both"/>
        <w:rPr>
          <w:rFonts w:ascii="Times New Roman" w:hAnsi="Times New Roman"/>
          <w:b/>
          <w:b/>
          <w:sz w:val="22"/>
          <w:szCs w:val="22"/>
        </w:rPr>
      </w:pPr>
      <w:r>
        <w:rPr>
          <w:rFonts w:ascii="Times New Roman" w:hAnsi="Times New Roman"/>
          <w:b/>
          <w:sz w:val="22"/>
          <w:szCs w:val="22"/>
        </w:rPr>
        <w:t>3.1. «Сторона 1» обязуется:</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3.1.1. Осуществлять прием информации о тревожном сообщении с объектов, указанных в приложении № 2 к настоящему договору.</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3.1.2. Осуществлять проверку учредительных и правоустанавливающих документов «Стороны 2».</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3.1.3. При поступлении тревожного сообщения с объекта, указанного приложения № 2 к настоящему договору, обеспечить прибытие к нему наряда «Стороны 1» в минимально возможные сроки для внешнего осмотра целостности объекта, а при необходимости – для принятия мер к задержанию лиц, совершающих противоправные действия.</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3.1.4. О результатах осмотра и причины поступления тревожного сообщения «Сторона 1» уведомляет «Сторону 2».</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3.1.5. При отсутствии доступа к объекту «Сторона 1» действует в соответствии с подпунктом 2.1.3. настоящего договора.</w:t>
      </w:r>
    </w:p>
    <w:p>
      <w:pPr>
        <w:pStyle w:val="24"/>
        <w:spacing w:lineRule="auto" w:line="240" w:before="0" w:after="0"/>
        <w:ind w:left="0" w:right="-28" w:firstLine="709"/>
        <w:jc w:val="both"/>
        <w:rPr>
          <w:rFonts w:ascii="Times New Roman" w:hAnsi="Times New Roman"/>
          <w:b/>
          <w:b/>
          <w:sz w:val="22"/>
          <w:szCs w:val="22"/>
        </w:rPr>
      </w:pPr>
      <w:r>
        <w:rPr>
          <w:rFonts w:ascii="Times New Roman" w:hAnsi="Times New Roman"/>
          <w:b/>
          <w:sz w:val="22"/>
          <w:szCs w:val="22"/>
        </w:rPr>
        <w:t>3.2. «Сторона 2» обязуется:</w:t>
      </w:r>
    </w:p>
    <w:p>
      <w:pPr>
        <w:pStyle w:val="24"/>
        <w:spacing w:lineRule="auto" w:line="240" w:before="0" w:after="0"/>
        <w:ind w:left="0" w:right="-28" w:firstLine="709"/>
        <w:jc w:val="both"/>
        <w:rPr/>
      </w:pPr>
      <w:r>
        <w:rPr>
          <w:rFonts w:ascii="Times New Roman" w:hAnsi="Times New Roman"/>
          <w:sz w:val="22"/>
          <w:szCs w:val="22"/>
        </w:rPr>
        <w:t xml:space="preserve">3.2.1. </w:t>
      </w:r>
      <w:r>
        <w:rPr>
          <w:rStyle w:val="FontStyle23"/>
          <w:rFonts w:ascii="Times New Roman" w:hAnsi="Times New Roman"/>
          <w:sz w:val="22"/>
          <w:szCs w:val="22"/>
        </w:rPr>
        <w:t>Осуществлять автоматический контроль за состоянием комплекса технических средств охраны, приём и регистрацию тревожных сообщений, передаваемых комплексами.</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3.2.2. Обеспечить немедленную передачу «Стороне 1» информации о тревожных сообщениях с объектов посредством ПАК ВсМК, в указанное в перечне (приложении №2) к настоящему договору время реагирования.</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3.2.3. Направлять «Стороне 1» посредством ПАК ВсМК документы, необходимые для принятия объекта под охрану (приложение № 3 к настоящему договору) на каждый объект, указанный в приложении № 2 к настоящему договору. Стороны подтверждают, что копии документов, направленные посредством ПАК ВсМК, равнозначны оригиналам соответствующих документов.</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 xml:space="preserve">3.2.4. </w:t>
      </w:r>
      <w:r>
        <w:rPr>
          <w:rFonts w:ascii="Times New Roman" w:hAnsi="Times New Roman"/>
          <w:spacing w:val="-6"/>
          <w:sz w:val="22"/>
          <w:szCs w:val="22"/>
        </w:rPr>
        <w:t xml:space="preserve">В случае необходимости изменения перечня объектов (приложение № 2 к настоящему договору), предоставлять «Стороне 1» до 15 числа каждого месяца для внесения изменений в приложение № 2 к настоящему договору, проект дополнительного соглашения с соответствующим пакетом документов (приложение № 3 к настоящему договору), с одновременным направлением посредством </w:t>
      </w:r>
      <w:r>
        <w:rPr>
          <w:rFonts w:ascii="Times New Roman" w:hAnsi="Times New Roman"/>
          <w:sz w:val="22"/>
          <w:szCs w:val="22"/>
        </w:rPr>
        <w:t>ПАК ВсМК</w:t>
      </w:r>
      <w:r>
        <w:rPr>
          <w:rFonts w:ascii="Times New Roman" w:hAnsi="Times New Roman"/>
          <w:spacing w:val="-6"/>
          <w:sz w:val="22"/>
          <w:szCs w:val="22"/>
        </w:rPr>
        <w:t xml:space="preserve"> оперативных карточек включаемых в приложение № 2 к настоящему договору объектов, а также списка уполномоченных представителей этих объектов, с указанием номеров их контактных телефонов.</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 xml:space="preserve">3.2.5 Своевременно вносить ежемесячную плату и иные платежи, установленные настоящим договором, в соответствии с его условиями. </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3.2.6. До внесения объекта в перечень объектов (приложение № 2 к настоящему договору) проверять правоустанавливающие документы на него, в том числе подтверждающие законное право пользования, владения, распоряжения или управления объектом.</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 xml:space="preserve">3.2.7. </w:t>
      </w:r>
      <w:r>
        <w:rPr>
          <w:rFonts w:ascii="Times New Roman" w:hAnsi="Times New Roman"/>
          <w:spacing w:val="-6"/>
          <w:sz w:val="22"/>
          <w:szCs w:val="22"/>
        </w:rPr>
        <w:t>При получении информации о возникновении спора о праве собственности или иного законного права на объект (пользования, владения, распоряжения и (или) управления им), письменно информировать об этом «Сторону 1» в течение 3 (трех) дней.</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3.2.8. Обеспечить прибытие представителей «Стороны 2» или иных уполномоченных лиц третьих лиц на объект, в случае обнаружения признаков противоправного посягательства в ходе осмотра объекта, в том числе нарушения его целостности, но не позднее, чем через 1 (одного) часа после получения «Стороной 2» сообщения о результатах осмотра объекта.</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3.2.9. Не позднее 10-го числа месяца, следующего за месяцем оказания услуг, получать счёт и акт оказанных услуг.</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 xml:space="preserve">3.2.10. </w:t>
      </w:r>
      <w:r>
        <w:rPr>
          <w:rFonts w:ascii="Times New Roman" w:hAnsi="Times New Roman"/>
          <w:color w:val="000000"/>
          <w:sz w:val="22"/>
          <w:szCs w:val="22"/>
        </w:rPr>
        <w:t xml:space="preserve">Оплатить время оперативного реагирования, превышающее предусмотренный в настоящем договоре период оказания услуг, в соответствии с действующим тарифом по направлению нарядов вневедомственной охраны в организации для пресечения противоправного посягательства при поступлении тревожного сообщения, передаваемого посредством ПАК-ВСМК, из расчета стоимости за 24 часа за полный календарный месяц. </w:t>
      </w:r>
      <w:r>
        <w:rPr>
          <w:rFonts w:ascii="Times New Roman" w:hAnsi="Times New Roman"/>
          <w:sz w:val="22"/>
          <w:szCs w:val="22"/>
        </w:rPr>
        <w:t xml:space="preserve">На момент заключения договора «Стороны 2» оплачивает по действующему тарифу </w:t>
      </w:r>
      <w:r>
        <w:rPr>
          <w:rFonts w:ascii="Times New Roman" w:hAnsi="Times New Roman"/>
          <w:color w:val="000000"/>
          <w:sz w:val="22"/>
          <w:szCs w:val="22"/>
        </w:rPr>
        <w:t xml:space="preserve">сумму, которая </w:t>
      </w:r>
      <w:r>
        <w:rPr>
          <w:rFonts w:ascii="Times New Roman" w:hAnsi="Times New Roman"/>
          <w:sz w:val="22"/>
          <w:szCs w:val="22"/>
        </w:rPr>
        <w:t>составляет</w:t>
      </w:r>
      <w:r>
        <w:rPr>
          <w:rFonts w:ascii="Times New Roman" w:hAnsi="Times New Roman"/>
          <w:color w:val="000000"/>
          <w:sz w:val="22"/>
          <w:szCs w:val="22"/>
        </w:rPr>
        <w:t xml:space="preserve"> 1969,08 рублей за каждый подключенный объект третьих лиц</w:t>
      </w:r>
      <w:r>
        <w:rPr>
          <w:rFonts w:ascii="Times New Roman" w:hAnsi="Times New Roman"/>
          <w:sz w:val="22"/>
          <w:szCs w:val="22"/>
        </w:rPr>
        <w:t>.</w:t>
      </w:r>
    </w:p>
    <w:p>
      <w:pPr>
        <w:pStyle w:val="24"/>
        <w:spacing w:lineRule="auto" w:line="240" w:before="0" w:after="0"/>
        <w:ind w:left="0" w:right="-28" w:firstLine="709"/>
        <w:jc w:val="both"/>
        <w:rPr>
          <w:rFonts w:ascii="Times New Roman" w:hAnsi="Times New Roman"/>
          <w:b/>
          <w:b/>
          <w:sz w:val="22"/>
          <w:szCs w:val="22"/>
        </w:rPr>
      </w:pPr>
      <w:r>
        <w:rPr>
          <w:rFonts w:ascii="Times New Roman" w:hAnsi="Times New Roman"/>
          <w:b/>
          <w:sz w:val="22"/>
          <w:szCs w:val="22"/>
        </w:rPr>
      </w:r>
    </w:p>
    <w:p>
      <w:pPr>
        <w:pStyle w:val="24"/>
        <w:spacing w:lineRule="auto" w:line="240" w:before="0" w:after="0"/>
        <w:ind w:left="0" w:right="-28" w:firstLine="709"/>
        <w:jc w:val="center"/>
        <w:rPr>
          <w:rFonts w:ascii="Times New Roman" w:hAnsi="Times New Roman"/>
          <w:b/>
          <w:b/>
          <w:sz w:val="22"/>
          <w:szCs w:val="22"/>
        </w:rPr>
      </w:pPr>
      <w:r>
        <w:rPr>
          <w:rFonts w:ascii="Times New Roman" w:hAnsi="Times New Roman"/>
          <w:b/>
          <w:sz w:val="22"/>
          <w:szCs w:val="22"/>
        </w:rPr>
        <w:t>4. ОТВЕТСТВЕННОСТЬ СТОРОН</w:t>
      </w:r>
    </w:p>
    <w:p>
      <w:pPr>
        <w:pStyle w:val="Normal"/>
        <w:shd w:fill="FFFFFF" w:val="clear"/>
        <w:tabs>
          <w:tab w:val="clear" w:pos="708"/>
          <w:tab w:val="left" w:pos="1046" w:leader="none"/>
        </w:tabs>
        <w:spacing w:lineRule="auto" w:line="240" w:before="0" w:after="0"/>
        <w:ind w:left="0" w:right="-28" w:firstLine="709"/>
        <w:jc w:val="both"/>
        <w:rPr>
          <w:rFonts w:ascii="Times New Roman" w:hAnsi="Times New Roman" w:cs="Times New Roman"/>
          <w:spacing w:val="2"/>
          <w:sz w:val="22"/>
          <w:szCs w:val="22"/>
        </w:rPr>
      </w:pPr>
      <w:r>
        <w:rPr>
          <w:rFonts w:cs="Times New Roman" w:ascii="Times New Roman" w:hAnsi="Times New Roman"/>
          <w:spacing w:val="2"/>
          <w:sz w:val="22"/>
          <w:szCs w:val="22"/>
        </w:rPr>
        <w:t>4.1. Материальная и имущественная ответственность «Стороны 1» перед третьими лицами и «Стороной 2» по настоящему договору не предусматривается, а в случае причинения ущерба третьим лицам возмещается «Стороной 2».</w:t>
      </w:r>
    </w:p>
    <w:p>
      <w:pPr>
        <w:pStyle w:val="Normal"/>
        <w:shd w:fill="FFFFFF" w:val="clear"/>
        <w:tabs>
          <w:tab w:val="clear" w:pos="708"/>
          <w:tab w:val="left" w:pos="1046" w:leader="none"/>
        </w:tabs>
        <w:spacing w:lineRule="auto" w:line="240" w:before="0" w:after="0"/>
        <w:ind w:left="0" w:right="-28" w:firstLine="709"/>
        <w:jc w:val="both"/>
        <w:rPr>
          <w:rFonts w:ascii="Times New Roman" w:hAnsi="Times New Roman" w:cs="Times New Roman"/>
          <w:spacing w:val="2"/>
          <w:sz w:val="22"/>
          <w:szCs w:val="22"/>
        </w:rPr>
      </w:pPr>
      <w:r>
        <w:rPr>
          <w:rFonts w:cs="Times New Roman" w:ascii="Times New Roman" w:hAnsi="Times New Roman"/>
          <w:spacing w:val="2"/>
          <w:sz w:val="22"/>
          <w:szCs w:val="22"/>
        </w:rPr>
        <w:t>4.2. «Сторона 1» не несет ответственности за жизнь, здоровье и имущество работников третьих лиц, находящихся на объекте, на котором совершаются противоправные действия, а также за имущество третьих лиц, на объекты которых осуществляется оперативное реагирование.</w:t>
      </w:r>
    </w:p>
    <w:p>
      <w:pPr>
        <w:pStyle w:val="24"/>
        <w:spacing w:lineRule="auto" w:line="240" w:before="0" w:after="0"/>
        <w:ind w:left="0" w:right="-28" w:firstLine="709"/>
        <w:jc w:val="both"/>
        <w:rPr>
          <w:rFonts w:ascii="Times New Roman" w:hAnsi="Times New Roman"/>
          <w:sz w:val="22"/>
          <w:szCs w:val="22"/>
        </w:rPr>
      </w:pPr>
      <w:r>
        <w:rPr>
          <w:rFonts w:cs="Times New Roman" w:ascii="Times New Roman" w:hAnsi="Times New Roman"/>
          <w:spacing w:val="-1"/>
          <w:sz w:val="22"/>
          <w:szCs w:val="22"/>
        </w:rPr>
        <w:t xml:space="preserve">4.3. </w:t>
      </w:r>
      <w:r>
        <w:rPr>
          <w:rFonts w:ascii="Times New Roman" w:hAnsi="Times New Roman"/>
          <w:sz w:val="22"/>
          <w:szCs w:val="22"/>
        </w:rPr>
        <w:t>В случае просрочки исполнения «Стороной 2» обязанности по оплате ежемесячной платы, «Сторона 1» вправе потребовать уплату неустойки. Неустойка начисляется за каждый день просрочки исполнения соответствующего обязательства, начиная со дня, следующего за днем истечения установленного срока исполнения обязательства по настоящему договору. Размер такой неустойки устанавливается в размере одной трехсотой действующей на день уплаты неустойки ключевой ставки Центрального банка Российской Федерации от суммы неуплаты. «Сторона 2» освобождается от уплаты неустойки, если докажет, что просрочка исполнения соответствующего обязательства произошла вследствие непреодолимой силы или по вине «Стороны 1».</w:t>
      </w:r>
    </w:p>
    <w:p>
      <w:pPr>
        <w:pStyle w:val="24"/>
        <w:spacing w:lineRule="auto" w:line="240" w:before="0" w:after="0"/>
        <w:ind w:left="0" w:right="-28" w:firstLine="709"/>
        <w:jc w:val="both"/>
        <w:rPr>
          <w:rFonts w:ascii="Times New Roman" w:hAnsi="Times New Roman"/>
          <w:sz w:val="22"/>
          <w:szCs w:val="22"/>
        </w:rPr>
      </w:pPr>
      <w:r>
        <w:rPr>
          <w:rFonts w:cs="Times New Roman" w:ascii="Times New Roman" w:hAnsi="Times New Roman"/>
          <w:spacing w:val="-1"/>
          <w:sz w:val="22"/>
          <w:szCs w:val="22"/>
        </w:rPr>
        <w:t>4.4.</w:t>
      </w:r>
      <w:r>
        <w:rPr>
          <w:rFonts w:ascii="Times New Roman" w:hAnsi="Times New Roman"/>
          <w:sz w:val="22"/>
          <w:szCs w:val="22"/>
        </w:rPr>
        <w:t xml:space="preserve"> </w:t>
      </w:r>
      <w:r>
        <w:rPr>
          <w:rFonts w:cs="Times New Roman" w:ascii="Times New Roman" w:hAnsi="Times New Roman"/>
          <w:sz w:val="22"/>
          <w:szCs w:val="22"/>
        </w:rPr>
        <w:t xml:space="preserve">«Сторона 1» освобождается от ответственности за неисполнение или ненадлежащее исполнение обязанностей по настоящему договору в случае неисправности </w:t>
      </w:r>
      <w:r>
        <w:rPr>
          <w:rFonts w:ascii="Times New Roman" w:hAnsi="Times New Roman"/>
          <w:sz w:val="22"/>
          <w:szCs w:val="22"/>
        </w:rPr>
        <w:t>ПАК ВсМК</w:t>
      </w:r>
      <w:r>
        <w:rPr>
          <w:rFonts w:cs="Times New Roman" w:ascii="Times New Roman" w:hAnsi="Times New Roman"/>
          <w:sz w:val="22"/>
          <w:szCs w:val="22"/>
        </w:rPr>
        <w:t xml:space="preserve"> по независящим от «Стороны 1» обстоятельствам, и в разумный срок сообщает «Стороне 2» посредством доступной связи (телефон, электронная почта и т.д.), с последующим уведомлением в письменным виде о произошедшей неисправности.</w:t>
      </w:r>
    </w:p>
    <w:p>
      <w:pPr>
        <w:pStyle w:val="Normal"/>
        <w:widowControl/>
        <w:autoSpaceDE w:val="true"/>
        <w:spacing w:lineRule="auto" w:line="240" w:before="0" w:after="0"/>
        <w:ind w:left="0" w:right="0" w:firstLine="709"/>
        <w:jc w:val="both"/>
        <w:rPr>
          <w:rFonts w:ascii="Times New Roman" w:hAnsi="Times New Roman"/>
          <w:sz w:val="22"/>
          <w:szCs w:val="22"/>
        </w:rPr>
      </w:pPr>
      <w:r>
        <w:rPr>
          <w:rFonts w:cs="Times New Roman" w:ascii="Times New Roman" w:hAnsi="Times New Roman"/>
          <w:bCs/>
          <w:sz w:val="22"/>
          <w:szCs w:val="22"/>
        </w:rPr>
        <w:t>4.5.</w:t>
      </w:r>
      <w:r>
        <w:rPr>
          <w:rFonts w:cs="Times New Roman" w:ascii="Times New Roman" w:hAnsi="Times New Roman"/>
          <w:sz w:val="22"/>
          <w:szCs w:val="22"/>
        </w:rPr>
        <w:t xml:space="preserve"> «Сторона 1» вправе взимать со «Стороны 2» дополнительную плату по действующему тарифу, на момент ее использования, согласно подпункта 1.2.2. настоящего договора, а также за неправильные действия «Стороны 2» или третьих лиц повлекшие за собой «ложный» выезд наряда «Стороны 1» на объект. На момент заключения договора, тариф на реагирования группами задержания «Стороны 1» при поступлении информации о происшествии установленной на объектах, принадлежащих третьим лицам за «ложный» выезд составляет 262,00 рублей/ за один выезд.</w:t>
      </w:r>
    </w:p>
    <w:p>
      <w:pPr>
        <w:pStyle w:val="Normal"/>
        <w:widowControl/>
        <w:autoSpaceDE w:val="true"/>
        <w:spacing w:lineRule="auto" w:line="240" w:before="0" w:after="0"/>
        <w:ind w:left="0" w:right="0" w:firstLine="709"/>
        <w:jc w:val="both"/>
        <w:rPr>
          <w:rFonts w:ascii="Times New Roman" w:hAnsi="Times New Roman"/>
          <w:sz w:val="22"/>
          <w:szCs w:val="22"/>
        </w:rPr>
      </w:pPr>
      <w:r>
        <w:rPr>
          <w:rFonts w:cs="Times New Roman" w:ascii="Times New Roman" w:hAnsi="Times New Roman"/>
          <w:color w:val="000000"/>
          <w:sz w:val="22"/>
          <w:szCs w:val="22"/>
        </w:rPr>
        <w:t xml:space="preserve">4.6. В случае отказа «Стороной-2» оплачивать время оперативного реагирования, превышающее предусмотренный в договоре период оказания услуг, «Сторона-1» освобождается от обязанности осуществления оперативного реагирования по тревожному сообщению с объекта в интервал времени, не предусмотренный настоящим договором, с исключением из перечня </w:t>
      </w:r>
      <w:r>
        <w:rPr>
          <w:rFonts w:cs="Times New Roman" w:ascii="Times New Roman" w:hAnsi="Times New Roman"/>
          <w:sz w:val="22"/>
          <w:szCs w:val="22"/>
        </w:rPr>
        <w:t>(приложении №2) к договору</w:t>
      </w:r>
      <w:r>
        <w:rPr>
          <w:rFonts w:cs="Times New Roman" w:ascii="Times New Roman" w:hAnsi="Times New Roman"/>
          <w:color w:val="000000"/>
          <w:sz w:val="22"/>
          <w:szCs w:val="22"/>
        </w:rPr>
        <w:t>.</w:t>
      </w:r>
    </w:p>
    <w:p>
      <w:pPr>
        <w:pStyle w:val="Normal"/>
        <w:widowControl/>
        <w:autoSpaceDE w:val="true"/>
        <w:spacing w:lineRule="auto" w:line="240" w:before="0" w:after="0"/>
        <w:ind w:left="0" w:right="0" w:firstLine="709"/>
        <w:jc w:val="both"/>
        <w:rPr>
          <w:rFonts w:ascii="Times New Roman" w:hAnsi="Times New Roman" w:cs="Times New Roman"/>
          <w:sz w:val="22"/>
          <w:szCs w:val="22"/>
        </w:rPr>
      </w:pPr>
      <w:r>
        <w:rPr>
          <w:rFonts w:cs="Times New Roman" w:ascii="Times New Roman" w:hAnsi="Times New Roman"/>
          <w:sz w:val="22"/>
          <w:szCs w:val="22"/>
        </w:rPr>
      </w:r>
    </w:p>
    <w:p>
      <w:pPr>
        <w:pStyle w:val="24"/>
        <w:spacing w:lineRule="auto" w:line="240" w:before="0" w:after="0"/>
        <w:ind w:left="0" w:right="-28" w:firstLine="709"/>
        <w:jc w:val="center"/>
        <w:rPr>
          <w:rFonts w:ascii="Times New Roman" w:hAnsi="Times New Roman" w:cs="Times New Roman"/>
          <w:b/>
          <w:b/>
          <w:sz w:val="22"/>
          <w:szCs w:val="22"/>
        </w:rPr>
      </w:pPr>
      <w:r>
        <w:rPr>
          <w:rFonts w:cs="Times New Roman" w:ascii="Times New Roman" w:hAnsi="Times New Roman"/>
          <w:b/>
          <w:sz w:val="22"/>
          <w:szCs w:val="22"/>
        </w:rPr>
        <w:t>5. ФОРС-МАЖОР</w:t>
      </w:r>
    </w:p>
    <w:p>
      <w:pPr>
        <w:pStyle w:val="24"/>
        <w:spacing w:lineRule="auto" w:line="240" w:before="0" w:after="0"/>
        <w:ind w:left="0" w:right="-28" w:firstLine="709"/>
        <w:jc w:val="both"/>
        <w:rPr>
          <w:rFonts w:ascii="Times New Roman" w:hAnsi="Times New Roman" w:cs="Times New Roman"/>
          <w:sz w:val="22"/>
          <w:szCs w:val="22"/>
        </w:rPr>
      </w:pPr>
      <w:r>
        <w:rPr>
          <w:rFonts w:cs="Times New Roman" w:ascii="Times New Roman" w:hAnsi="Times New Roman"/>
          <w:sz w:val="22"/>
          <w:szCs w:val="22"/>
        </w:rPr>
        <w:t>5.1. Стороны освобождаются от ответственности в случаях наступления обстоятельств непреодолимой силы, которые не могли и не должны были предвидеть, а также преодолеть своими силами, к которым относятся непреодолимые силы природы, военные действия, издание нормативного правового акта органом государственной власти, делающим исполнение обязательств по настоящему договору невозможным и т.п.</w:t>
      </w:r>
    </w:p>
    <w:p>
      <w:pPr>
        <w:pStyle w:val="24"/>
        <w:spacing w:lineRule="auto" w:line="240" w:before="0" w:after="0"/>
        <w:ind w:left="0" w:right="-28" w:firstLine="709"/>
        <w:jc w:val="both"/>
        <w:rPr>
          <w:rFonts w:ascii="Times New Roman" w:hAnsi="Times New Roman" w:cs="Times New Roman"/>
          <w:sz w:val="22"/>
          <w:szCs w:val="22"/>
        </w:rPr>
      </w:pPr>
      <w:r>
        <w:rPr>
          <w:rFonts w:cs="Times New Roman" w:ascii="Times New Roman" w:hAnsi="Times New Roman"/>
          <w:sz w:val="22"/>
          <w:szCs w:val="22"/>
        </w:rPr>
        <w:t>5.2. В случае действия обстоятельств непреодолимой силы и их последствий свыше одного месяца, стороны имеют право отказаться от дальнейшего выполнения взятых на себя по настоящему договору обязательств и расторгнуть договор, предварительно уведомив другую Сторону не позднее, чем за 10 дней до даты расторжения договора.</w:t>
      </w:r>
    </w:p>
    <w:p>
      <w:pPr>
        <w:pStyle w:val="24"/>
        <w:spacing w:lineRule="auto" w:line="240" w:before="0" w:after="0"/>
        <w:ind w:left="0" w:right="-28" w:firstLine="709"/>
        <w:jc w:val="both"/>
        <w:rPr>
          <w:rFonts w:ascii="Times New Roman" w:hAnsi="Times New Roman" w:cs="Times New Roman"/>
          <w:sz w:val="22"/>
          <w:szCs w:val="22"/>
        </w:rPr>
      </w:pPr>
      <w:r>
        <w:rPr>
          <w:rFonts w:cs="Times New Roman" w:ascii="Times New Roman" w:hAnsi="Times New Roman"/>
          <w:sz w:val="22"/>
          <w:szCs w:val="22"/>
        </w:rPr>
        <w:t>5.3. Сторона, для которой выполнение обязательств по настоящему договору стало невозможным вследствие наступления обстоятельств непреодолимой силы, должна письменно информировать другую Сторону о начале таких обстоятельств незамедлительно, но не позднее 3 (трех) дней с момента их наступления.</w:t>
      </w:r>
    </w:p>
    <w:p>
      <w:pPr>
        <w:pStyle w:val="24"/>
        <w:spacing w:lineRule="auto" w:line="240" w:before="0" w:after="0"/>
        <w:ind w:left="0" w:right="-28" w:firstLine="709"/>
        <w:jc w:val="both"/>
        <w:rPr>
          <w:rFonts w:ascii="Times New Roman" w:hAnsi="Times New Roman" w:cs="Times New Roman"/>
          <w:sz w:val="22"/>
          <w:szCs w:val="22"/>
        </w:rPr>
      </w:pPr>
      <w:r>
        <w:rPr>
          <w:rFonts w:cs="Times New Roman" w:ascii="Times New Roman" w:hAnsi="Times New Roman"/>
          <w:sz w:val="22"/>
          <w:szCs w:val="22"/>
        </w:rPr>
      </w:r>
    </w:p>
    <w:p>
      <w:pPr>
        <w:pStyle w:val="24"/>
        <w:spacing w:lineRule="auto" w:line="240" w:before="0" w:after="0"/>
        <w:ind w:left="0" w:right="-28" w:firstLine="709"/>
        <w:jc w:val="center"/>
        <w:rPr>
          <w:rFonts w:ascii="Times New Roman" w:hAnsi="Times New Roman"/>
          <w:b/>
          <w:b/>
          <w:sz w:val="22"/>
          <w:szCs w:val="22"/>
        </w:rPr>
      </w:pPr>
      <w:r>
        <w:rPr>
          <w:rFonts w:ascii="Times New Roman" w:hAnsi="Times New Roman"/>
          <w:b/>
          <w:sz w:val="22"/>
          <w:szCs w:val="22"/>
        </w:rPr>
        <w:t>6. ПОРЯДОК РАСЧЕТОВ</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6.1. Размер ежемесячной платы за услуги, оказываемые «Стороной 1» по настоящему договору, рассчитывается в соответствии с Приложением № 1 и Приложением № 2 к настоящему договору.</w:t>
      </w:r>
    </w:p>
    <w:p>
      <w:pPr>
        <w:pStyle w:val="24"/>
        <w:spacing w:lineRule="auto" w:line="240" w:before="0" w:after="0"/>
        <w:ind w:left="0" w:right="-28" w:firstLine="709"/>
        <w:jc w:val="both"/>
        <w:rPr>
          <w:rFonts w:ascii="Times New Roman" w:hAnsi="Times New Roman" w:cs="Times New Roman"/>
          <w:sz w:val="22"/>
          <w:szCs w:val="22"/>
        </w:rPr>
      </w:pPr>
      <w:r>
        <w:rPr>
          <w:rFonts w:cs="Times New Roman" w:ascii="Times New Roman" w:hAnsi="Times New Roman"/>
          <w:sz w:val="22"/>
          <w:szCs w:val="22"/>
        </w:rPr>
        <w:t xml:space="preserve">6.2. Изменение стоимости ежемесячной платы по договору производится при изменении действующих тарифов. </w:t>
      </w:r>
    </w:p>
    <w:p>
      <w:pPr>
        <w:pStyle w:val="Normal"/>
        <w:spacing w:lineRule="auto" w:line="240" w:before="0" w:after="0"/>
        <w:ind w:left="0" w:right="0" w:firstLine="709"/>
        <w:jc w:val="both"/>
        <w:rPr>
          <w:rFonts w:ascii="Times New Roman" w:hAnsi="Times New Roman" w:cs="Times New Roman"/>
          <w:sz w:val="22"/>
          <w:szCs w:val="22"/>
        </w:rPr>
      </w:pPr>
      <w:r>
        <w:rPr>
          <w:rFonts w:cs="Times New Roman" w:ascii="Times New Roman" w:hAnsi="Times New Roman"/>
          <w:sz w:val="22"/>
          <w:szCs w:val="22"/>
        </w:rPr>
        <w:t xml:space="preserve">«Сторона 1» в течение 10 дней после введения в действие измененных тарифов на оказываемые услуги письменно уведомляет об этом «Сторону 2» и направляет Перечень объектов, с указанием измененных тарифов. </w:t>
      </w:r>
    </w:p>
    <w:p>
      <w:pPr>
        <w:pStyle w:val="Normal"/>
        <w:tabs>
          <w:tab w:val="clear" w:pos="708"/>
          <w:tab w:val="left" w:pos="0" w:leader="none"/>
        </w:tabs>
        <w:spacing w:lineRule="auto" w:line="240" w:before="0" w:after="0"/>
        <w:ind w:left="0" w:right="-5" w:firstLine="709"/>
        <w:jc w:val="both"/>
        <w:rPr>
          <w:rFonts w:ascii="Times New Roman" w:hAnsi="Times New Roman" w:cs="Times New Roman"/>
          <w:sz w:val="22"/>
          <w:szCs w:val="22"/>
        </w:rPr>
      </w:pPr>
      <w:r>
        <w:rPr>
          <w:rFonts w:cs="Times New Roman" w:ascii="Times New Roman" w:hAnsi="Times New Roman"/>
          <w:sz w:val="22"/>
          <w:szCs w:val="22"/>
        </w:rPr>
        <w:t>В случае, если в течение 10 дней со дня получения уведомления об изменении тарифов на оказываемые услуги, «Сторона 2» письменно уведомляет «Сторону 1» о своем несогласии подписать Перечень объектов, с указанием измененных тарифов, «Сторона 1» вправе расторгнуть договор в одностороннем порядке, предупредив об этом в письменной форме «Сторону 2» не менее чем за 10 дней.</w:t>
      </w:r>
    </w:p>
    <w:p>
      <w:pPr>
        <w:pStyle w:val="23"/>
        <w:spacing w:lineRule="auto" w:line="240" w:before="0" w:after="0"/>
        <w:ind w:left="0" w:right="0" w:firstLine="709"/>
        <w:jc w:val="both"/>
        <w:rPr>
          <w:rFonts w:ascii="Times New Roman" w:hAnsi="Times New Roman" w:cs="Times New Roman"/>
          <w:sz w:val="22"/>
          <w:szCs w:val="22"/>
        </w:rPr>
      </w:pPr>
      <w:r>
        <w:rPr>
          <w:rFonts w:cs="Times New Roman" w:ascii="Times New Roman" w:hAnsi="Times New Roman"/>
          <w:sz w:val="22"/>
          <w:szCs w:val="22"/>
        </w:rPr>
        <w:t>Если по истечении 10 дней со дня получения уведомления об изменении тарифов на оказываемые услуги «Сторона 2» продолжает пользоваться услугами, оказываемыми «Стороной 1», то измененный тариф считается, безусловно, принятым «Стороной 2» с даты, установленной в Перечне объектов с указанием измененных тарифов.</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6.3. Стоимость услуг «Стороны 1» не облагается НДС в соответствии с подпунктом 4 пункта 2 статьи 146 главы 21 части 2 Налогового кодекса Российской Федерации.</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6.4. Ежемесячная плата за услуги перечисляется «Стороной 2» на основании выставленного «Стороной 1» счета и подписанного акта оказанных услуг, путем перечисления соответствующей денежной суммы в размере 100 %, не позднее 15 числа месяца следующего за месяцем оказания услуг на расчетный счет «Стороны 1», независимо от наличия дебиторской задолженности третьих лиц перед «Стороной 2». Обязательства по оплате считаются выполненными с момента поступления денежных средств на лицевой счет «Стороны 1».</w:t>
      </w:r>
    </w:p>
    <w:p>
      <w:pPr>
        <w:pStyle w:val="24"/>
        <w:spacing w:lineRule="auto" w:line="240" w:before="0" w:after="0"/>
        <w:ind w:left="0" w:right="-28" w:firstLine="709"/>
        <w:jc w:val="both"/>
        <w:rPr/>
      </w:pPr>
      <w:r>
        <w:rPr>
          <w:rFonts w:ascii="Times New Roman" w:hAnsi="Times New Roman"/>
          <w:sz w:val="22"/>
          <w:szCs w:val="22"/>
        </w:rPr>
        <w:t>6.5. «Стороной 2» при выставлении «Стороной 1» счета, производится дополнительная плата согласно пункта 4.5. настоящего договора, в случае выезда наряда вневедомственной охраны войск национальной гвардии Российской Федерации по «ложному» сигналу «тревога»</w:t>
      </w:r>
      <w:r>
        <w:rPr>
          <w:rStyle w:val="Style11"/>
          <w:rFonts w:ascii="Times New Roman" w:hAnsi="Times New Roman"/>
          <w:sz w:val="22"/>
          <w:szCs w:val="22"/>
        </w:rPr>
        <w:t xml:space="preserve"> </w:t>
      </w:r>
      <w:r>
        <w:rPr>
          <w:rFonts w:ascii="Times New Roman" w:hAnsi="Times New Roman"/>
          <w:sz w:val="22"/>
          <w:szCs w:val="22"/>
        </w:rPr>
        <w:t xml:space="preserve"> и согласно пункта 2.7. за выставление поста охраны до момента прибытия представителя «Стороны 2» или иного уполномоченного лица третьих лиц свыше 1 (одного) часа (далее – иные платежи). </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6.6. «Сторона 2» перечисляет «Стороне 1» иные платежи на основании выставленного «Стороной 1» счета, подписанного акта оказанных услуг и отчета ПАК ВсМК в течение 10 банковских дней со дня выставления счета.</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 xml:space="preserve">6.7. В случае досрочного расторжения договора Сторонами производятся взаиморасчеты, исходя из стоимости фактически оказанных услуг на момент расторжения договора, на основании акта оказанных услуг и акта сверки взаиморасчетов, подписанного Сторонами не позднее даты расторжения Договора. </w:t>
      </w:r>
    </w:p>
    <w:p>
      <w:pPr>
        <w:pStyle w:val="24"/>
        <w:spacing w:lineRule="auto" w:line="240" w:before="0" w:after="0"/>
        <w:ind w:left="0" w:right="-28" w:firstLine="709"/>
        <w:rPr>
          <w:rFonts w:ascii="Times New Roman" w:hAnsi="Times New Roman"/>
          <w:b/>
          <w:b/>
          <w:sz w:val="22"/>
          <w:szCs w:val="22"/>
        </w:rPr>
      </w:pPr>
      <w:r>
        <w:rPr>
          <w:rFonts w:ascii="Times New Roman" w:hAnsi="Times New Roman"/>
          <w:b/>
          <w:sz w:val="22"/>
          <w:szCs w:val="22"/>
        </w:rPr>
      </w:r>
    </w:p>
    <w:p>
      <w:pPr>
        <w:pStyle w:val="24"/>
        <w:spacing w:lineRule="auto" w:line="240" w:before="0" w:after="0"/>
        <w:ind w:left="0" w:right="-28" w:hanging="0"/>
        <w:jc w:val="center"/>
        <w:rPr>
          <w:rFonts w:ascii="Times New Roman" w:hAnsi="Times New Roman"/>
          <w:b/>
          <w:b/>
          <w:sz w:val="22"/>
          <w:szCs w:val="22"/>
        </w:rPr>
      </w:pPr>
      <w:r>
        <w:rPr>
          <w:rFonts w:ascii="Times New Roman" w:hAnsi="Times New Roman"/>
          <w:b/>
          <w:sz w:val="22"/>
          <w:szCs w:val="22"/>
        </w:rPr>
        <w:t>7. ДЕЙСТВИЕ ДОГОВОРА, ЕГО ИЗМЕНЕНИЕ, ПРИОСТАНОВЛЕНИЕ И РАСТОРЖЕНИЕ</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 xml:space="preserve">7.1. </w:t>
      </w:r>
      <w:r>
        <w:rPr>
          <w:rFonts w:ascii="Times New Roman" w:hAnsi="Times New Roman"/>
          <w:color w:val="000000"/>
          <w:sz w:val="22"/>
          <w:szCs w:val="22"/>
        </w:rPr>
        <w:t>Настоящий договор заключается сроком на 1 (один) год и становится обязательным для Сторон с момента его подписания. Если за 10 дней до его окончания ни одна из сторон не потребует его расторжения, договор считается пролонгированным на прежних условиях на каждый следующий календарный год.</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7.2. Настоящий договор может быть расторгнут досрочно в одностороннем порядке по инициативе одной из Сторон с обязательным проведением взаиморасчетов по исполненным Сторонами обязательствам в соответствии условиями настоящего договора. Заинтересованная в расторжении договора Сторона письменно уведомляет об этом другую Сторону не менее чем за 10 дней до предполагаемой даты расторжения.</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7.3. В случае просрочки внесения «Стороной 2» ежемесячной оплаты и (или) иных платежей по настоящему договору, либо отказа от заключения дополнительного соглашения об изменении тарифов «Сторона 1» вправе приостановить его действие, письменно уведомив об этом «Сторону 2» не позднее, чем за 10 дней до даты приостановления действия договора.</w:t>
      </w:r>
    </w:p>
    <w:p>
      <w:pPr>
        <w:pStyle w:val="Normal"/>
        <w:spacing w:lineRule="auto" w:line="240" w:before="0" w:after="0"/>
        <w:ind w:left="0" w:right="-28" w:firstLine="709"/>
        <w:jc w:val="both"/>
        <w:rPr>
          <w:rFonts w:ascii="Times New Roman" w:hAnsi="Times New Roman" w:cs="Times New Roman"/>
          <w:sz w:val="22"/>
          <w:szCs w:val="22"/>
        </w:rPr>
      </w:pPr>
      <w:r>
        <w:rPr>
          <w:rFonts w:cs="Times New Roman" w:ascii="Times New Roman" w:hAnsi="Times New Roman"/>
          <w:sz w:val="22"/>
          <w:szCs w:val="22"/>
        </w:rPr>
        <w:t>7.4. В случае возникновения спора о праве собственности (пользования, владения, распоряжения) и (или) управления объектом третьих лиц, «Сторона 1» вправе немедленно приостановить выполнение обязательств в отношении данного объекта до вступления в законную силу решения суда по предмету возникшего спора или исключить указанный объект из перечня объектов (приложение № 2 к настоящему договору) в одностороннем порядке, письменно уведомив об этом «Сторону 2», с последующим внесением соответствующих изменений в приложение № 2 к настоящему договору.</w:t>
      </w:r>
    </w:p>
    <w:p>
      <w:pPr>
        <w:pStyle w:val="Normal"/>
        <w:spacing w:lineRule="auto" w:line="240" w:before="0" w:after="0"/>
        <w:ind w:left="0" w:right="-28" w:firstLine="709"/>
        <w:jc w:val="both"/>
        <w:rPr>
          <w:rFonts w:ascii="Times New Roman" w:hAnsi="Times New Roman"/>
          <w:sz w:val="22"/>
          <w:szCs w:val="22"/>
        </w:rPr>
      </w:pPr>
      <w:r>
        <w:rPr>
          <w:rFonts w:cs="Times New Roman" w:ascii="Times New Roman" w:hAnsi="Times New Roman"/>
          <w:sz w:val="22"/>
          <w:szCs w:val="22"/>
        </w:rPr>
        <w:t xml:space="preserve">7.5. </w:t>
      </w:r>
      <w:r>
        <w:rPr>
          <w:rFonts w:cs="Times New Roman" w:ascii="Times New Roman" w:hAnsi="Times New Roman"/>
          <w:spacing w:val="-6"/>
          <w:sz w:val="22"/>
          <w:szCs w:val="22"/>
        </w:rPr>
        <w:t xml:space="preserve">В случае систематического (более 5 раз в течение месяца) поступления «ложного» тревожного сообщения с одного и того же объекта вследствие ненадлежащего выполнения «Стороной 2» обязанностей, предусмотренных пунктами 2.2 и 3.2 настоящего договора, «Сторона 1» вправе приостановить выполнение обязанности по выезду наряда «Стороны 1» по тревожному сообщению, поступающему с данного объекта, </w:t>
      </w:r>
      <w:r>
        <w:rPr>
          <w:rFonts w:cs="Times New Roman" w:ascii="Times New Roman" w:hAnsi="Times New Roman"/>
          <w:sz w:val="22"/>
          <w:szCs w:val="22"/>
        </w:rPr>
        <w:t>письменно уведомив об этом «Сторону 2» за 10 дней</w:t>
      </w:r>
      <w:r>
        <w:rPr>
          <w:rFonts w:cs="Times New Roman" w:ascii="Times New Roman" w:hAnsi="Times New Roman"/>
          <w:spacing w:val="-6"/>
          <w:sz w:val="22"/>
          <w:szCs w:val="22"/>
        </w:rPr>
        <w:t>, до момента устранения причин, повлекших «ложный» тревожное сообщение.</w:t>
      </w:r>
    </w:p>
    <w:p>
      <w:pPr>
        <w:pStyle w:val="ConsPlusNormal"/>
        <w:widowControl/>
        <w:spacing w:lineRule="auto" w:line="240" w:before="0" w:after="0"/>
        <w:ind w:left="0" w:right="0" w:firstLine="709"/>
        <w:jc w:val="both"/>
        <w:rPr>
          <w:rFonts w:ascii="Times New Roman" w:hAnsi="Times New Roman" w:cs="Times New Roman"/>
          <w:sz w:val="22"/>
          <w:szCs w:val="22"/>
        </w:rPr>
      </w:pPr>
      <w:r>
        <w:rPr>
          <w:rFonts w:cs="Times New Roman" w:ascii="Times New Roman" w:hAnsi="Times New Roman"/>
          <w:sz w:val="22"/>
          <w:szCs w:val="22"/>
        </w:rPr>
        <w:t>7.6. Изменение условий договора при его исполнении не допускается, за исключением их изменения по соглашению Сторон.</w:t>
      </w:r>
    </w:p>
    <w:p>
      <w:pPr>
        <w:pStyle w:val="ConsPlusNormal"/>
        <w:widowControl/>
        <w:spacing w:lineRule="auto" w:line="240" w:before="0" w:after="0"/>
        <w:ind w:left="0" w:right="0" w:firstLine="709"/>
        <w:jc w:val="both"/>
        <w:rPr>
          <w:rFonts w:ascii="Times New Roman" w:hAnsi="Times New Roman" w:cs="Times New Roman"/>
          <w:sz w:val="22"/>
          <w:szCs w:val="22"/>
        </w:rPr>
      </w:pPr>
      <w:r>
        <w:rPr>
          <w:rFonts w:cs="Times New Roman" w:ascii="Times New Roman" w:hAnsi="Times New Roman"/>
          <w:sz w:val="22"/>
          <w:szCs w:val="22"/>
        </w:rPr>
      </w:r>
    </w:p>
    <w:p>
      <w:pPr>
        <w:pStyle w:val="24"/>
        <w:spacing w:lineRule="auto" w:line="240" w:before="0" w:after="0"/>
        <w:ind w:left="0" w:right="-28" w:firstLine="709"/>
        <w:jc w:val="center"/>
        <w:rPr>
          <w:rFonts w:ascii="Times New Roman" w:hAnsi="Times New Roman"/>
          <w:b/>
          <w:b/>
          <w:sz w:val="22"/>
          <w:szCs w:val="22"/>
        </w:rPr>
      </w:pPr>
      <w:r>
        <w:rPr>
          <w:rFonts w:ascii="Times New Roman" w:hAnsi="Times New Roman"/>
          <w:b/>
          <w:sz w:val="22"/>
          <w:szCs w:val="22"/>
        </w:rPr>
        <w:t>8. ПРОЧИЕ УСЛОВИЯ</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8.1. Все споры, возникшие при исполнении условий договора или в связи с ним, подлежат разрешению в Арбитражном суде Республики Татарстан.</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8.2. Все изменения и дополнения к настоящему договору и в приложения к нему оформляются в письменном форме в виде дополнительного соглашения.</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8.3. Все приложения и дополнительные соглашения к настоящему договору являются неотъемлемыми частями договора.</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8.4. В случае изменений учредительных и (или) правоустанавливающих документов, в том числе подтверждающих законное право владения, пользования, распоряжения или управления объектом, или полномочия «Стороны 2» на заключение настоящего договора и выполнение Сторонами обязательств по нему, изменения местонахождения, банковских реквизитов, смены руководителей, уполномоченных лиц, Стороны письменно уведомляют друг друга в течение 3 дней с момента таких изменений.</w:t>
      </w:r>
    </w:p>
    <w:p>
      <w:pPr>
        <w:pStyle w:val="Normal"/>
        <w:widowControl/>
        <w:autoSpaceDE w:val="true"/>
        <w:spacing w:lineRule="auto" w:line="240" w:before="0" w:after="0"/>
        <w:ind w:left="0" w:right="0" w:firstLine="709"/>
        <w:jc w:val="both"/>
        <w:rPr>
          <w:rFonts w:ascii="Times New Roman" w:hAnsi="Times New Roman" w:cs="Times New Roman"/>
          <w:sz w:val="22"/>
          <w:szCs w:val="22"/>
        </w:rPr>
      </w:pPr>
      <w:r>
        <w:rPr>
          <w:rFonts w:cs="Times New Roman" w:ascii="Times New Roman" w:hAnsi="Times New Roman"/>
          <w:sz w:val="22"/>
          <w:szCs w:val="22"/>
        </w:rPr>
        <w:t xml:space="preserve">8.5. Стороны признают документы, направленные другой стороне в электронном виде посредством электронной почты. </w:t>
      </w:r>
    </w:p>
    <w:p>
      <w:pPr>
        <w:pStyle w:val="Normal"/>
        <w:widowControl/>
        <w:autoSpaceDE w:val="true"/>
        <w:spacing w:lineRule="auto" w:line="240" w:before="0" w:after="0"/>
        <w:ind w:left="0" w:right="0" w:firstLine="709"/>
        <w:jc w:val="both"/>
        <w:rPr>
          <w:rFonts w:ascii="Times New Roman" w:hAnsi="Times New Roman"/>
          <w:sz w:val="22"/>
          <w:szCs w:val="22"/>
        </w:rPr>
      </w:pPr>
      <w:r>
        <w:rPr>
          <w:rFonts w:cs="Times New Roman" w:ascii="Times New Roman" w:hAnsi="Times New Roman"/>
          <w:sz w:val="22"/>
          <w:szCs w:val="22"/>
        </w:rPr>
        <w:t>8.6.</w:t>
      </w:r>
      <w:r>
        <w:rPr>
          <w:rFonts w:cs="Times New Roman" w:ascii="Times New Roman" w:hAnsi="Times New Roman"/>
          <w:b/>
          <w:sz w:val="22"/>
          <w:szCs w:val="22"/>
        </w:rPr>
        <w:t xml:space="preserve"> </w:t>
      </w:r>
      <w:r>
        <w:rPr>
          <w:rFonts w:cs="Times New Roman" w:ascii="Times New Roman" w:hAnsi="Times New Roman"/>
          <w:sz w:val="22"/>
          <w:szCs w:val="22"/>
        </w:rPr>
        <w:t xml:space="preserve">Подписанный Сторонами документ в электронном виде (сканированный вариант) признается имеющим юридическую силу и являющимся обязательным для Сторон. В течение тридцатидневного срока, с момента направления сканированного варианта документа, Стороны обязаны обменяться подписанными (скрепленными подписью и печатью) документами, отсутствие оригинала документов не является основанием для признания данных документов не действительными. </w:t>
      </w:r>
    </w:p>
    <w:p>
      <w:pPr>
        <w:pStyle w:val="Normal"/>
        <w:widowControl/>
        <w:autoSpaceDE w:val="true"/>
        <w:spacing w:lineRule="auto" w:line="240" w:before="0" w:after="0"/>
        <w:ind w:left="0" w:right="0" w:firstLine="709"/>
        <w:jc w:val="both"/>
        <w:rPr>
          <w:rFonts w:ascii="Times New Roman" w:hAnsi="Times New Roman" w:cs="Times New Roman"/>
          <w:sz w:val="22"/>
          <w:szCs w:val="22"/>
        </w:rPr>
      </w:pPr>
      <w:r>
        <w:rPr>
          <w:rFonts w:cs="Times New Roman" w:ascii="Times New Roman" w:hAnsi="Times New Roman"/>
          <w:sz w:val="22"/>
          <w:szCs w:val="22"/>
        </w:rPr>
        <w:t>8.7. Сторона, допустившая нарушения сроков обмена оригиналами документов, является виновной в нарушении условий договора и несет бремя применения в отношение виновной стороны санкций, вплоть до приостановки действия договора.</w:t>
      </w:r>
    </w:p>
    <w:p>
      <w:pPr>
        <w:pStyle w:val="Normal"/>
        <w:tabs>
          <w:tab w:val="clear" w:pos="708"/>
          <w:tab w:val="left" w:pos="900" w:leader="none"/>
        </w:tabs>
        <w:overflowPunct w:val="false"/>
        <w:spacing w:lineRule="auto" w:line="240" w:before="0" w:after="0"/>
        <w:ind w:left="0" w:right="0" w:firstLine="709"/>
        <w:jc w:val="both"/>
        <w:textAlignment w:val="baseline"/>
        <w:rPr>
          <w:rFonts w:ascii="Times New Roman" w:hAnsi="Times New Roman"/>
          <w:sz w:val="22"/>
          <w:szCs w:val="22"/>
        </w:rPr>
      </w:pPr>
      <w:r>
        <w:rPr>
          <w:rFonts w:cs="Times New Roman" w:ascii="Times New Roman" w:hAnsi="Times New Roman"/>
          <w:bCs/>
          <w:sz w:val="22"/>
          <w:szCs w:val="22"/>
        </w:rPr>
        <w:t xml:space="preserve">8.8. </w:t>
      </w:r>
      <w:r>
        <w:rPr>
          <w:rFonts w:cs="Times New Roman" w:ascii="Times New Roman" w:hAnsi="Times New Roman"/>
          <w:sz w:val="22"/>
          <w:szCs w:val="22"/>
        </w:rPr>
        <w:t>В исключительных случаях, при введении в общем или на отдельно взятой территории особого правового режима (чрезвычайного и/или военного положения), законодательным актом уполномоченного на то исполнительного органа, на такой территории действие договоров на предоставление услуг «Стороной 1» немедленно приостанавливается на период действия особого правового статуса. «Сторона 1», в меру своих возможностей, извещает «Сторону 2» о наступлении особого правового режима и приостановки действия договора любым доступным ей способом.</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8.9. По всем вопросам, неурегулированным настоящим договором, Стороны руководствуются законодательством Российской Федерации.</w:t>
      </w:r>
    </w:p>
    <w:p>
      <w:pPr>
        <w:pStyle w:val="24"/>
        <w:spacing w:lineRule="auto" w:line="240" w:before="0" w:after="0"/>
        <w:ind w:left="0" w:right="-28" w:firstLine="709"/>
        <w:jc w:val="both"/>
        <w:rPr>
          <w:rFonts w:ascii="Times New Roman" w:hAnsi="Times New Roman"/>
          <w:sz w:val="22"/>
          <w:szCs w:val="22"/>
        </w:rPr>
      </w:pPr>
      <w:r>
        <w:rPr>
          <w:rFonts w:ascii="Times New Roman" w:hAnsi="Times New Roman"/>
          <w:sz w:val="22"/>
          <w:szCs w:val="22"/>
        </w:rPr>
        <w:t xml:space="preserve">8.10. </w:t>
      </w:r>
      <w:r>
        <w:rPr>
          <w:rFonts w:ascii="Times New Roman" w:hAnsi="Times New Roman"/>
          <w:spacing w:val="-6"/>
          <w:sz w:val="22"/>
          <w:szCs w:val="22"/>
        </w:rPr>
        <w:t>Договор составлен в двух экземплярах, имеющих равную юридическую силу, один экземпляр находится у «Стороны 1», один экземпляр находится у «Стороны 2».</w:t>
      </w:r>
    </w:p>
    <w:p>
      <w:pPr>
        <w:pStyle w:val="24"/>
        <w:spacing w:lineRule="auto" w:line="240" w:before="0" w:after="0"/>
        <w:ind w:left="0" w:right="-28" w:firstLine="709"/>
        <w:jc w:val="center"/>
        <w:rPr>
          <w:rFonts w:ascii="Times New Roman" w:hAnsi="Times New Roman"/>
          <w:b/>
          <w:b/>
          <w:sz w:val="22"/>
          <w:szCs w:val="22"/>
        </w:rPr>
      </w:pPr>
      <w:r>
        <w:rPr>
          <w:rFonts w:ascii="Times New Roman" w:hAnsi="Times New Roman"/>
          <w:b/>
          <w:sz w:val="22"/>
          <w:szCs w:val="22"/>
        </w:rPr>
        <w:t>9. ЮРИДИЧЕСКИЕ АДРЕСА И РЕКВИЗИТЫ СТОРОН</w:t>
      </w:r>
    </w:p>
    <w:p>
      <w:pPr>
        <w:pStyle w:val="24"/>
        <w:spacing w:lineRule="auto" w:line="240" w:before="0" w:after="0"/>
        <w:ind w:left="0" w:right="-28" w:firstLine="709"/>
        <w:jc w:val="both"/>
        <w:rPr>
          <w:rFonts w:ascii="Times New Roman" w:hAnsi="Times New Roman"/>
          <w:b/>
          <w:b/>
          <w:sz w:val="22"/>
          <w:szCs w:val="22"/>
        </w:rPr>
      </w:pPr>
      <w:r>
        <w:rPr>
          <w:rFonts w:ascii="Times New Roman" w:hAnsi="Times New Roman"/>
          <w:b/>
          <w:sz w:val="22"/>
          <w:szCs w:val="22"/>
        </w:rPr>
        <w:t>Сторона 1:</w:t>
      </w:r>
    </w:p>
    <w:p>
      <w:pPr>
        <w:pStyle w:val="Normal"/>
        <w:overflowPunct w:val="false"/>
        <w:spacing w:lineRule="auto" w:line="240" w:before="0" w:after="0"/>
        <w:jc w:val="both"/>
        <w:textAlignment w:val="baseline"/>
        <w:rPr>
          <w:rFonts w:ascii="Times New Roman" w:hAnsi="Times New Roman" w:cs="Times New Roman"/>
          <w:sz w:val="22"/>
          <w:szCs w:val="22"/>
        </w:rPr>
      </w:pPr>
      <w:r>
        <w:rPr>
          <w:rFonts w:cs="Times New Roman" w:ascii="Times New Roman" w:hAnsi="Times New Roman"/>
          <w:sz w:val="22"/>
          <w:szCs w:val="22"/>
        </w:rPr>
        <w:t>ФГКУ «УВО ВНГ России по Республике Татарстан (Татарстан)»</w:t>
      </w:r>
    </w:p>
    <w:p>
      <w:pPr>
        <w:pStyle w:val="Normal"/>
        <w:overflowPunct w:val="false"/>
        <w:spacing w:lineRule="auto" w:line="240" w:before="0" w:after="0"/>
        <w:jc w:val="both"/>
        <w:textAlignment w:val="baseline"/>
        <w:rPr>
          <w:rFonts w:ascii="Times New Roman" w:hAnsi="Times New Roman" w:cs="Times New Roman"/>
          <w:sz w:val="22"/>
          <w:szCs w:val="22"/>
        </w:rPr>
      </w:pPr>
      <w:r>
        <w:rPr>
          <w:rFonts w:cs="Times New Roman" w:ascii="Times New Roman" w:hAnsi="Times New Roman"/>
          <w:sz w:val="22"/>
          <w:szCs w:val="22"/>
        </w:rPr>
        <w:t xml:space="preserve">Юридический адрес: 420111, Республика Татарстан, г. Казань, ул.Лево-Булачная, д. 20, </w:t>
      </w:r>
    </w:p>
    <w:p>
      <w:pPr>
        <w:pStyle w:val="Normal"/>
        <w:overflowPunct w:val="false"/>
        <w:spacing w:lineRule="auto" w:line="240" w:before="0" w:after="0"/>
        <w:jc w:val="both"/>
        <w:textAlignment w:val="baseline"/>
        <w:rPr>
          <w:rFonts w:ascii="Times New Roman" w:hAnsi="Times New Roman" w:cs="Times New Roman"/>
          <w:bCs/>
          <w:sz w:val="22"/>
          <w:szCs w:val="22"/>
        </w:rPr>
      </w:pPr>
      <w:r>
        <w:rPr>
          <w:rFonts w:cs="Times New Roman" w:ascii="Times New Roman" w:hAnsi="Times New Roman"/>
          <w:bCs/>
          <w:sz w:val="22"/>
          <w:szCs w:val="22"/>
        </w:rPr>
        <w:t>_________________________________</w:t>
      </w:r>
    </w:p>
    <w:p>
      <w:pPr>
        <w:pStyle w:val="24"/>
        <w:spacing w:lineRule="auto" w:line="240" w:before="0" w:after="0"/>
        <w:ind w:left="0" w:right="0" w:firstLine="709"/>
        <w:rPr>
          <w:rFonts w:ascii="Times New Roman" w:hAnsi="Times New Roman" w:cs="Times New Roman"/>
          <w:b/>
          <w:b/>
          <w:sz w:val="22"/>
          <w:szCs w:val="22"/>
        </w:rPr>
      </w:pPr>
      <w:r>
        <w:rPr>
          <w:rFonts w:cs="Times New Roman" w:ascii="Times New Roman" w:hAnsi="Times New Roman"/>
          <w:b/>
          <w:sz w:val="22"/>
          <w:szCs w:val="22"/>
        </w:rPr>
        <w:t xml:space="preserve">Сторона 2: </w:t>
      </w:r>
    </w:p>
    <w:p>
      <w:pPr>
        <w:pStyle w:val="Normal"/>
        <w:spacing w:lineRule="auto" w:line="240" w:before="0" w:after="0"/>
        <w:jc w:val="both"/>
        <w:textAlignment w:val="baseline"/>
        <w:rPr/>
      </w:pPr>
      <w:r>
        <w:rPr>
          <w:rStyle w:val="Jsphonenumber"/>
          <w:rFonts w:cs="Times New Roman" w:ascii="Times New Roman" w:hAnsi="Times New Roman"/>
          <w:color w:val="2C2D2E"/>
          <w:sz w:val="22"/>
          <w:szCs w:val="22"/>
          <w:shd w:fill="FFFFFF" w:val="clear"/>
        </w:rPr>
        <w:t>_______________________________________________________</w:t>
      </w:r>
    </w:p>
    <w:p>
      <w:pPr>
        <w:pStyle w:val="Normal"/>
        <w:tabs>
          <w:tab w:val="clear" w:pos="708"/>
          <w:tab w:val="center" w:pos="3544" w:leader="none"/>
          <w:tab w:val="left" w:pos="9355" w:leader="none"/>
        </w:tabs>
        <w:spacing w:lineRule="auto" w:line="240" w:before="0" w:after="0"/>
        <w:ind w:left="0" w:right="-1" w:hanging="0"/>
        <w:rPr>
          <w:rFonts w:ascii="Times New Roman" w:hAnsi="Times New Roman" w:eastAsia="Calibri" w:cs="Times New Roman"/>
          <w:sz w:val="22"/>
          <w:szCs w:val="22"/>
          <w:lang w:eastAsia="en-US"/>
        </w:rPr>
      </w:pPr>
      <w:r>
        <w:rPr>
          <w:rFonts w:eastAsia="Calibri" w:cs="Times New Roman" w:ascii="Times New Roman" w:hAnsi="Times New Roman"/>
          <w:sz w:val="22"/>
          <w:szCs w:val="22"/>
          <w:lang w:eastAsia="en-US"/>
        </w:rPr>
      </w:r>
    </w:p>
    <w:tbl>
      <w:tblPr>
        <w:tblW w:w="9606" w:type="dxa"/>
        <w:jc w:val="left"/>
        <w:tblInd w:w="0" w:type="dxa"/>
        <w:tblCellMar>
          <w:top w:w="0" w:type="dxa"/>
          <w:left w:w="108" w:type="dxa"/>
          <w:bottom w:w="0" w:type="dxa"/>
          <w:right w:w="108" w:type="dxa"/>
        </w:tblCellMar>
      </w:tblPr>
      <w:tblGrid>
        <w:gridCol w:w="5070"/>
        <w:gridCol w:w="4536"/>
      </w:tblGrid>
      <w:tr>
        <w:trPr>
          <w:trHeight w:val="2127" w:hRule="atLeast"/>
        </w:trPr>
        <w:tc>
          <w:tcPr>
            <w:tcW w:w="5070" w:type="dxa"/>
            <w:tcBorders/>
          </w:tcPr>
          <w:p>
            <w:pPr>
              <w:pStyle w:val="1"/>
              <w:spacing w:lineRule="auto" w:line="240" w:before="0" w:after="0"/>
              <w:ind w:left="0" w:right="0" w:firstLine="1490"/>
              <w:jc w:val="left"/>
              <w:rPr>
                <w:rFonts w:ascii="Times New Roman" w:hAnsi="Times New Roman" w:cs="Times New Roman"/>
                <w:sz w:val="22"/>
                <w:szCs w:val="22"/>
              </w:rPr>
            </w:pPr>
            <w:r>
              <w:rPr>
                <w:rFonts w:cs="Times New Roman" w:ascii="Times New Roman" w:hAnsi="Times New Roman"/>
                <w:sz w:val="22"/>
                <w:szCs w:val="22"/>
              </w:rPr>
              <w:t>«Сторона 1»</w:t>
            </w:r>
          </w:p>
          <w:p>
            <w:pPr>
              <w:pStyle w:val="Normal"/>
              <w:overflowPunct w:val="false"/>
              <w:spacing w:lineRule="auto" w:line="240" w:before="0" w:after="0"/>
              <w:textAlignment w:val="baseline"/>
              <w:rPr>
                <w:rFonts w:ascii="Times New Roman" w:hAnsi="Times New Roman" w:cs="Times New Roman"/>
                <w:sz w:val="22"/>
                <w:szCs w:val="22"/>
              </w:rPr>
            </w:pPr>
            <w:r>
              <w:rPr>
                <w:rFonts w:cs="Times New Roman" w:ascii="Times New Roman" w:hAnsi="Times New Roman"/>
                <w:sz w:val="22"/>
                <w:szCs w:val="22"/>
              </w:rPr>
              <w:t>___________________________</w:t>
            </w:r>
          </w:p>
          <w:p>
            <w:pPr>
              <w:pStyle w:val="Normal"/>
              <w:overflowPunct w:val="false"/>
              <w:spacing w:lineRule="auto" w:line="240" w:before="0" w:after="0"/>
              <w:textAlignment w:val="baseline"/>
              <w:rPr>
                <w:rFonts w:ascii="Times New Roman" w:hAnsi="Times New Roman" w:cs="Times New Roman"/>
                <w:sz w:val="22"/>
                <w:szCs w:val="22"/>
              </w:rPr>
            </w:pPr>
            <w:r>
              <w:rPr>
                <w:rFonts w:cs="Times New Roman" w:ascii="Times New Roman" w:hAnsi="Times New Roman"/>
                <w:sz w:val="22"/>
                <w:szCs w:val="22"/>
              </w:rPr>
            </w:r>
          </w:p>
          <w:p>
            <w:pPr>
              <w:pStyle w:val="3"/>
              <w:spacing w:lineRule="auto" w:line="240" w:before="0" w:after="0"/>
              <w:ind w:left="0" w:right="0" w:hanging="0"/>
              <w:rPr>
                <w:rFonts w:ascii="Times New Roman" w:hAnsi="Times New Roman" w:cs="Times New Roman"/>
                <w:sz w:val="22"/>
                <w:szCs w:val="22"/>
              </w:rPr>
            </w:pPr>
            <w:r>
              <w:rPr>
                <w:rFonts w:cs="Times New Roman" w:ascii="Times New Roman" w:hAnsi="Times New Roman"/>
                <w:sz w:val="22"/>
                <w:szCs w:val="22"/>
              </w:rPr>
              <w:t xml:space="preserve">М.П. ______________ </w:t>
            </w:r>
          </w:p>
        </w:tc>
        <w:tc>
          <w:tcPr>
            <w:tcW w:w="4536" w:type="dxa"/>
            <w:tcBorders/>
          </w:tcPr>
          <w:p>
            <w:pPr>
              <w:pStyle w:val="24"/>
              <w:spacing w:lineRule="auto" w:line="240" w:before="0" w:after="0"/>
              <w:jc w:val="center"/>
              <w:rPr>
                <w:rFonts w:ascii="Times New Roman" w:hAnsi="Times New Roman" w:cs="Times New Roman"/>
                <w:b/>
                <w:b/>
                <w:sz w:val="22"/>
                <w:szCs w:val="22"/>
              </w:rPr>
            </w:pPr>
            <w:r>
              <w:rPr>
                <w:rFonts w:cs="Times New Roman" w:ascii="Times New Roman" w:hAnsi="Times New Roman"/>
                <w:b/>
                <w:sz w:val="22"/>
                <w:szCs w:val="22"/>
              </w:rPr>
              <w:t>«Сторона 2»</w:t>
            </w:r>
          </w:p>
          <w:p>
            <w:pPr>
              <w:pStyle w:val="Normal"/>
              <w:overflowPunct w:val="false"/>
              <w:spacing w:lineRule="auto" w:line="240" w:before="0" w:after="0"/>
              <w:textAlignment w:val="baseline"/>
              <w:rPr>
                <w:rFonts w:ascii="Times New Roman" w:hAnsi="Times New Roman" w:cs="Times New Roman"/>
                <w:sz w:val="22"/>
                <w:szCs w:val="22"/>
              </w:rPr>
            </w:pPr>
            <w:r>
              <w:rPr>
                <w:rFonts w:cs="Times New Roman" w:ascii="Times New Roman" w:hAnsi="Times New Roman"/>
                <w:sz w:val="22"/>
                <w:szCs w:val="22"/>
              </w:rPr>
              <w:t>_________________________</w:t>
            </w:r>
          </w:p>
          <w:p>
            <w:pPr>
              <w:pStyle w:val="24"/>
              <w:spacing w:lineRule="auto" w:line="240" w:before="0" w:after="0"/>
              <w:ind w:left="0" w:right="0" w:firstLine="25"/>
              <w:rPr>
                <w:rFonts w:ascii="Times New Roman" w:hAnsi="Times New Roman" w:cs="Times New Roman"/>
                <w:sz w:val="22"/>
                <w:szCs w:val="22"/>
              </w:rPr>
            </w:pPr>
            <w:r>
              <w:rPr>
                <w:rFonts w:cs="Times New Roman" w:ascii="Times New Roman" w:hAnsi="Times New Roman"/>
                <w:sz w:val="22"/>
                <w:szCs w:val="22"/>
              </w:rPr>
            </w:r>
          </w:p>
          <w:p>
            <w:pPr>
              <w:pStyle w:val="24"/>
              <w:spacing w:lineRule="auto" w:line="240" w:before="0" w:after="0"/>
              <w:ind w:left="0" w:right="0" w:firstLine="25"/>
              <w:rPr>
                <w:rFonts w:ascii="Times New Roman" w:hAnsi="Times New Roman" w:cs="Times New Roman"/>
                <w:sz w:val="22"/>
                <w:szCs w:val="22"/>
              </w:rPr>
            </w:pPr>
            <w:r>
              <w:rPr>
                <w:rFonts w:cs="Times New Roman" w:ascii="Times New Roman" w:hAnsi="Times New Roman"/>
                <w:sz w:val="22"/>
                <w:szCs w:val="22"/>
              </w:rPr>
            </w:r>
          </w:p>
          <w:p>
            <w:pPr>
              <w:pStyle w:val="24"/>
              <w:spacing w:lineRule="auto" w:line="240" w:before="0" w:after="0"/>
              <w:ind w:left="0" w:right="0" w:firstLine="25"/>
              <w:rPr>
                <w:rFonts w:ascii="Times New Roman" w:hAnsi="Times New Roman" w:cs="Times New Roman"/>
                <w:sz w:val="22"/>
                <w:szCs w:val="22"/>
              </w:rPr>
            </w:pPr>
            <w:r>
              <w:rPr>
                <w:rFonts w:cs="Times New Roman" w:ascii="Times New Roman" w:hAnsi="Times New Roman"/>
                <w:sz w:val="22"/>
                <w:szCs w:val="22"/>
              </w:rPr>
              <w:t xml:space="preserve">М.П.__________ </w:t>
            </w:r>
          </w:p>
        </w:tc>
      </w:tr>
    </w:tbl>
    <w:p>
      <w:pPr>
        <w:sectPr>
          <w:type w:val="nextPage"/>
          <w:pgSz w:w="11906" w:h="16838"/>
          <w:pgMar w:left="1701" w:right="850" w:header="0" w:top="1134" w:footer="0" w:bottom="1134" w:gutter="0"/>
          <w:pgNumType w:fmt="decimal"/>
          <w:formProt w:val="false"/>
          <w:textDirection w:val="lrTb"/>
          <w:docGrid w:type="default" w:linePitch="360" w:charSpace="4096"/>
        </w:sectPr>
      </w:pPr>
    </w:p>
    <w:p>
      <w:pPr>
        <w:pStyle w:val="24"/>
        <w:spacing w:lineRule="auto" w:line="240" w:before="0" w:after="0"/>
        <w:ind w:left="0" w:right="-282" w:firstLine="567"/>
        <w:jc w:val="right"/>
        <w:rPr>
          <w:rFonts w:ascii="Times New Roman" w:hAnsi="Times New Roman"/>
          <w:color w:val="000000"/>
          <w:sz w:val="22"/>
          <w:szCs w:val="22"/>
        </w:rPr>
      </w:pPr>
      <w:r>
        <w:rPr>
          <w:rFonts w:ascii="Times New Roman" w:hAnsi="Times New Roman"/>
          <w:color w:val="000000"/>
          <w:sz w:val="22"/>
          <w:szCs w:val="22"/>
        </w:rPr>
        <w:t>Приложение № 1</w:t>
      </w:r>
    </w:p>
    <w:p>
      <w:pPr>
        <w:pStyle w:val="24"/>
        <w:spacing w:lineRule="auto" w:line="240" w:before="0" w:after="0"/>
        <w:ind w:left="0" w:right="-282" w:firstLine="567"/>
        <w:jc w:val="right"/>
        <w:rPr>
          <w:rFonts w:ascii="Times New Roman" w:hAnsi="Times New Roman"/>
          <w:color w:val="000000"/>
          <w:sz w:val="22"/>
          <w:szCs w:val="22"/>
        </w:rPr>
      </w:pPr>
      <w:r>
        <w:rPr>
          <w:rFonts w:ascii="Times New Roman" w:hAnsi="Times New Roman"/>
          <w:color w:val="000000"/>
          <w:sz w:val="22"/>
          <w:szCs w:val="22"/>
        </w:rPr>
        <w:t>к договору _______________</w:t>
      </w:r>
    </w:p>
    <w:p>
      <w:pPr>
        <w:pStyle w:val="24"/>
        <w:spacing w:lineRule="auto" w:line="240" w:before="0" w:after="0"/>
        <w:ind w:left="0" w:right="-282" w:hanging="0"/>
        <w:rPr>
          <w:rFonts w:ascii="Times New Roman" w:hAnsi="Times New Roman"/>
          <w:b/>
          <w:b/>
          <w:color w:val="000000"/>
          <w:sz w:val="22"/>
          <w:szCs w:val="22"/>
        </w:rPr>
      </w:pPr>
      <w:r>
        <w:rPr>
          <w:rFonts w:ascii="Times New Roman" w:hAnsi="Times New Roman"/>
          <w:b/>
          <w:color w:val="000000"/>
          <w:sz w:val="22"/>
          <w:szCs w:val="22"/>
        </w:rPr>
      </w:r>
    </w:p>
    <w:p>
      <w:pPr>
        <w:pStyle w:val="Normal"/>
        <w:shd w:fill="FFFFFF" w:val="clear"/>
        <w:spacing w:lineRule="auto" w:line="240" w:before="0" w:after="0"/>
        <w:ind w:left="0" w:right="-282" w:firstLine="567"/>
        <w:jc w:val="center"/>
        <w:rPr>
          <w:rFonts w:ascii="Times New Roman" w:hAnsi="Times New Roman" w:cs="Times New Roman"/>
          <w:b/>
          <w:b/>
          <w:sz w:val="22"/>
          <w:szCs w:val="22"/>
        </w:rPr>
      </w:pPr>
      <w:r>
        <w:rPr>
          <w:rFonts w:cs="Times New Roman" w:ascii="Times New Roman" w:hAnsi="Times New Roman"/>
          <w:b/>
          <w:sz w:val="22"/>
          <w:szCs w:val="22"/>
        </w:rPr>
        <w:t>Цена услуг</w:t>
      </w:r>
    </w:p>
    <w:p>
      <w:pPr>
        <w:pStyle w:val="Normal"/>
        <w:shd w:fill="FFFFFF" w:val="clear"/>
        <w:spacing w:lineRule="auto" w:line="240" w:before="0" w:after="0"/>
        <w:ind w:left="0" w:right="-282" w:firstLine="567"/>
        <w:jc w:val="center"/>
        <w:rPr>
          <w:rFonts w:ascii="Times New Roman" w:hAnsi="Times New Roman" w:cs="Times New Roman"/>
          <w:b/>
          <w:b/>
          <w:sz w:val="22"/>
          <w:szCs w:val="22"/>
        </w:rPr>
      </w:pPr>
      <w:r>
        <w:rPr>
          <w:rFonts w:cs="Times New Roman" w:ascii="Times New Roman" w:hAnsi="Times New Roman"/>
          <w:b/>
          <w:sz w:val="22"/>
          <w:szCs w:val="22"/>
        </w:rPr>
      </w:r>
    </w:p>
    <w:tbl>
      <w:tblPr>
        <w:tblW w:w="9899" w:type="dxa"/>
        <w:jc w:val="left"/>
        <w:tblInd w:w="-5" w:type="dxa"/>
        <w:tblCellMar>
          <w:top w:w="0" w:type="dxa"/>
          <w:left w:w="108" w:type="dxa"/>
          <w:bottom w:w="0" w:type="dxa"/>
          <w:right w:w="108" w:type="dxa"/>
        </w:tblCellMar>
      </w:tblPr>
      <w:tblGrid>
        <w:gridCol w:w="675"/>
        <w:gridCol w:w="5812"/>
        <w:gridCol w:w="3412"/>
      </w:tblGrid>
      <w:tr>
        <w:trPr/>
        <w:tc>
          <w:tcPr>
            <w:tcW w:w="675" w:type="dxa"/>
            <w:tcBorders>
              <w:top w:val="single" w:sz="4" w:space="0" w:color="000000"/>
              <w:left w:val="single" w:sz="4" w:space="0" w:color="000000"/>
              <w:bottom w:val="single" w:sz="4" w:space="0" w:color="000000"/>
            </w:tcBorders>
          </w:tcPr>
          <w:p>
            <w:pPr>
              <w:pStyle w:val="Normal"/>
              <w:spacing w:lineRule="auto" w:line="240" w:before="0" w:after="0"/>
              <w:ind w:left="0" w:right="-282" w:hanging="0"/>
              <w:rPr>
                <w:rFonts w:ascii="Times New Roman" w:hAnsi="Times New Roman"/>
                <w:sz w:val="22"/>
                <w:szCs w:val="22"/>
              </w:rPr>
            </w:pPr>
            <w:r>
              <w:rPr>
                <w:rFonts w:cs="Times New Roman" w:ascii="Times New Roman" w:hAnsi="Times New Roman"/>
                <w:sz w:val="22"/>
                <w:szCs w:val="22"/>
              </w:rPr>
              <w:t xml:space="preserve">№ </w:t>
            </w:r>
            <w:r>
              <w:rPr>
                <w:rFonts w:cs="Times New Roman" w:ascii="Times New Roman" w:hAnsi="Times New Roman"/>
                <w:sz w:val="22"/>
                <w:szCs w:val="22"/>
              </w:rPr>
              <w:t>п/п</w:t>
            </w:r>
          </w:p>
        </w:tc>
        <w:tc>
          <w:tcPr>
            <w:tcW w:w="5812" w:type="dxa"/>
            <w:tcBorders>
              <w:top w:val="single" w:sz="4" w:space="0" w:color="000000"/>
              <w:left w:val="single" w:sz="4" w:space="0" w:color="000000"/>
              <w:bottom w:val="single" w:sz="4" w:space="0" w:color="000000"/>
            </w:tcBorders>
          </w:tcPr>
          <w:p>
            <w:pPr>
              <w:pStyle w:val="Normal"/>
              <w:spacing w:lineRule="auto" w:line="240" w:before="0" w:after="0"/>
              <w:ind w:left="0" w:right="-282" w:hanging="0"/>
              <w:jc w:val="center"/>
              <w:rPr>
                <w:rFonts w:ascii="Times New Roman" w:hAnsi="Times New Roman" w:cs="Times New Roman"/>
                <w:sz w:val="22"/>
                <w:szCs w:val="22"/>
              </w:rPr>
            </w:pPr>
            <w:r>
              <w:rPr>
                <w:rFonts w:cs="Times New Roman" w:ascii="Times New Roman" w:hAnsi="Times New Roman"/>
                <w:sz w:val="22"/>
                <w:szCs w:val="22"/>
              </w:rPr>
              <w:t>Наименование услуги</w:t>
            </w:r>
          </w:p>
        </w:tc>
        <w:tc>
          <w:tcPr>
            <w:tcW w:w="3412" w:type="dxa"/>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ind w:left="0" w:right="-282" w:hanging="0"/>
              <w:jc w:val="center"/>
              <w:rPr>
                <w:rFonts w:ascii="Times New Roman" w:hAnsi="Times New Roman" w:cs="Times New Roman"/>
                <w:sz w:val="22"/>
                <w:szCs w:val="22"/>
              </w:rPr>
            </w:pPr>
            <w:r>
              <w:rPr>
                <w:rFonts w:cs="Times New Roman" w:ascii="Times New Roman" w:hAnsi="Times New Roman"/>
                <w:sz w:val="22"/>
                <w:szCs w:val="22"/>
              </w:rPr>
              <w:t>Стоимость в руб.</w:t>
            </w:r>
          </w:p>
        </w:tc>
      </w:tr>
      <w:tr>
        <w:trPr/>
        <w:tc>
          <w:tcPr>
            <w:tcW w:w="675" w:type="dxa"/>
            <w:tcBorders>
              <w:top w:val="single" w:sz="4" w:space="0" w:color="000000"/>
              <w:left w:val="single" w:sz="4" w:space="0" w:color="000000"/>
              <w:bottom w:val="single" w:sz="4" w:space="0" w:color="000000"/>
            </w:tcBorders>
          </w:tcPr>
          <w:p>
            <w:pPr>
              <w:pStyle w:val="Normal"/>
              <w:spacing w:lineRule="auto" w:line="240" w:before="0" w:after="0"/>
              <w:ind w:left="-142" w:right="-282" w:hanging="0"/>
              <w:jc w:val="center"/>
              <w:rPr>
                <w:rFonts w:ascii="Times New Roman" w:hAnsi="Times New Roman" w:cs="Times New Roman"/>
                <w:sz w:val="22"/>
                <w:szCs w:val="22"/>
              </w:rPr>
            </w:pPr>
            <w:r>
              <w:rPr>
                <w:rFonts w:cs="Times New Roman" w:ascii="Times New Roman" w:hAnsi="Times New Roman"/>
                <w:sz w:val="22"/>
                <w:szCs w:val="22"/>
              </w:rPr>
              <w:t>1</w:t>
            </w:r>
          </w:p>
        </w:tc>
        <w:tc>
          <w:tcPr>
            <w:tcW w:w="5812" w:type="dxa"/>
            <w:tcBorders>
              <w:top w:val="single" w:sz="4" w:space="0" w:color="000000"/>
              <w:left w:val="single" w:sz="4" w:space="0" w:color="000000"/>
              <w:bottom w:val="single" w:sz="4" w:space="0" w:color="000000"/>
            </w:tcBorders>
          </w:tcPr>
          <w:p>
            <w:pPr>
              <w:pStyle w:val="Normal"/>
              <w:snapToGrid w:val="false"/>
              <w:spacing w:lineRule="auto" w:line="240" w:before="0" w:after="0"/>
              <w:ind w:left="0" w:right="34" w:hanging="0"/>
              <w:jc w:val="both"/>
              <w:rPr>
                <w:rFonts w:ascii="Times New Roman" w:hAnsi="Times New Roman"/>
                <w:sz w:val="22"/>
                <w:szCs w:val="22"/>
              </w:rPr>
            </w:pPr>
            <w:r>
              <w:rPr>
                <w:rFonts w:ascii="Times New Roman" w:hAnsi="Times New Roman"/>
                <w:sz w:val="22"/>
                <w:szCs w:val="22"/>
              </w:rPr>
            </w:r>
          </w:p>
        </w:tc>
        <w:tc>
          <w:tcPr>
            <w:tcW w:w="3412" w:type="dxa"/>
            <w:tcBorders>
              <w:top w:val="single" w:sz="4" w:space="0" w:color="000000"/>
              <w:left w:val="single" w:sz="4" w:space="0" w:color="000000"/>
              <w:bottom w:val="single" w:sz="4" w:space="0" w:color="000000"/>
              <w:right w:val="single" w:sz="4" w:space="0" w:color="000000"/>
            </w:tcBorders>
          </w:tcPr>
          <w:p>
            <w:pPr>
              <w:pStyle w:val="Normal"/>
              <w:snapToGrid w:val="false"/>
              <w:spacing w:lineRule="auto" w:line="240" w:before="0" w:after="0"/>
              <w:ind w:left="0" w:right="34" w:hanging="0"/>
              <w:jc w:val="center"/>
              <w:rPr>
                <w:rFonts w:ascii="Times New Roman" w:hAnsi="Times New Roman"/>
                <w:sz w:val="22"/>
                <w:szCs w:val="22"/>
              </w:rPr>
            </w:pPr>
            <w:r>
              <w:rPr>
                <w:rFonts w:ascii="Times New Roman" w:hAnsi="Times New Roman"/>
                <w:sz w:val="22"/>
                <w:szCs w:val="22"/>
              </w:rPr>
            </w:r>
          </w:p>
        </w:tc>
      </w:tr>
      <w:tr>
        <w:trPr/>
        <w:tc>
          <w:tcPr>
            <w:tcW w:w="675" w:type="dxa"/>
            <w:tcBorders>
              <w:top w:val="single" w:sz="4" w:space="0" w:color="000000"/>
              <w:left w:val="single" w:sz="4" w:space="0" w:color="000000"/>
              <w:bottom w:val="single" w:sz="4" w:space="0" w:color="000000"/>
            </w:tcBorders>
          </w:tcPr>
          <w:p>
            <w:pPr>
              <w:pStyle w:val="Normal"/>
              <w:spacing w:lineRule="auto" w:line="240" w:before="0" w:after="0"/>
              <w:ind w:left="-142" w:right="-282" w:hanging="0"/>
              <w:jc w:val="center"/>
              <w:rPr>
                <w:rFonts w:ascii="Times New Roman" w:hAnsi="Times New Roman" w:cs="Times New Roman"/>
                <w:sz w:val="22"/>
                <w:szCs w:val="22"/>
              </w:rPr>
            </w:pPr>
            <w:r>
              <w:rPr>
                <w:rFonts w:cs="Times New Roman" w:ascii="Times New Roman" w:hAnsi="Times New Roman"/>
                <w:sz w:val="22"/>
                <w:szCs w:val="22"/>
              </w:rPr>
              <w:t>2</w:t>
            </w:r>
          </w:p>
        </w:tc>
        <w:tc>
          <w:tcPr>
            <w:tcW w:w="5812" w:type="dxa"/>
            <w:tcBorders>
              <w:top w:val="single" w:sz="4" w:space="0" w:color="000000"/>
              <w:left w:val="single" w:sz="4" w:space="0" w:color="000000"/>
              <w:bottom w:val="single" w:sz="4" w:space="0" w:color="000000"/>
            </w:tcBorders>
          </w:tcPr>
          <w:p>
            <w:pPr>
              <w:pStyle w:val="Normal"/>
              <w:snapToGrid w:val="false"/>
              <w:spacing w:lineRule="auto" w:line="240" w:before="0" w:after="0"/>
              <w:ind w:left="0" w:right="34" w:hanging="0"/>
              <w:jc w:val="both"/>
              <w:rPr>
                <w:rFonts w:ascii="Times New Roman" w:hAnsi="Times New Roman"/>
                <w:sz w:val="22"/>
                <w:szCs w:val="22"/>
              </w:rPr>
            </w:pPr>
            <w:r>
              <w:rPr>
                <w:rFonts w:ascii="Times New Roman" w:hAnsi="Times New Roman"/>
                <w:sz w:val="22"/>
                <w:szCs w:val="22"/>
              </w:rPr>
            </w:r>
          </w:p>
        </w:tc>
        <w:tc>
          <w:tcPr>
            <w:tcW w:w="3412" w:type="dxa"/>
            <w:tcBorders>
              <w:top w:val="single" w:sz="4" w:space="0" w:color="000000"/>
              <w:left w:val="single" w:sz="4" w:space="0" w:color="000000"/>
              <w:bottom w:val="single" w:sz="4" w:space="0" w:color="000000"/>
              <w:right w:val="single" w:sz="4" w:space="0" w:color="000000"/>
            </w:tcBorders>
          </w:tcPr>
          <w:p>
            <w:pPr>
              <w:pStyle w:val="Normal"/>
              <w:snapToGrid w:val="false"/>
              <w:spacing w:lineRule="auto" w:line="240" w:before="0" w:after="0"/>
              <w:ind w:left="0" w:right="34" w:hanging="0"/>
              <w:jc w:val="center"/>
              <w:rPr>
                <w:rFonts w:ascii="Times New Roman" w:hAnsi="Times New Roman"/>
                <w:sz w:val="22"/>
                <w:szCs w:val="22"/>
              </w:rPr>
            </w:pPr>
            <w:r>
              <w:rPr>
                <w:rFonts w:ascii="Times New Roman" w:hAnsi="Times New Roman"/>
                <w:sz w:val="22"/>
                <w:szCs w:val="22"/>
              </w:rPr>
            </w:r>
          </w:p>
        </w:tc>
      </w:tr>
      <w:tr>
        <w:trPr/>
        <w:tc>
          <w:tcPr>
            <w:tcW w:w="675" w:type="dxa"/>
            <w:tcBorders>
              <w:top w:val="single" w:sz="4" w:space="0" w:color="000000"/>
              <w:left w:val="single" w:sz="4" w:space="0" w:color="000000"/>
              <w:bottom w:val="single" w:sz="4" w:space="0" w:color="000000"/>
            </w:tcBorders>
          </w:tcPr>
          <w:p>
            <w:pPr>
              <w:pStyle w:val="Normal"/>
              <w:spacing w:lineRule="auto" w:line="240" w:before="0" w:after="0"/>
              <w:ind w:left="-142" w:right="-282" w:hanging="0"/>
              <w:jc w:val="center"/>
              <w:rPr>
                <w:rFonts w:ascii="Times New Roman" w:hAnsi="Times New Roman" w:cs="Times New Roman"/>
                <w:sz w:val="22"/>
                <w:szCs w:val="22"/>
              </w:rPr>
            </w:pPr>
            <w:r>
              <w:rPr>
                <w:rFonts w:cs="Times New Roman" w:ascii="Times New Roman" w:hAnsi="Times New Roman"/>
                <w:sz w:val="22"/>
                <w:szCs w:val="22"/>
              </w:rPr>
              <w:t>3</w:t>
            </w:r>
          </w:p>
        </w:tc>
        <w:tc>
          <w:tcPr>
            <w:tcW w:w="5812" w:type="dxa"/>
            <w:tcBorders>
              <w:top w:val="single" w:sz="4" w:space="0" w:color="000000"/>
              <w:left w:val="single" w:sz="4" w:space="0" w:color="000000"/>
              <w:bottom w:val="single" w:sz="4" w:space="0" w:color="000000"/>
            </w:tcBorders>
          </w:tcPr>
          <w:p>
            <w:pPr>
              <w:pStyle w:val="Normal"/>
              <w:snapToGrid w:val="false"/>
              <w:spacing w:lineRule="auto" w:line="240" w:before="0" w:after="0"/>
              <w:ind w:left="0" w:right="34" w:hanging="0"/>
              <w:jc w:val="both"/>
              <w:rPr>
                <w:rFonts w:ascii="Times New Roman" w:hAnsi="Times New Roman"/>
                <w:sz w:val="22"/>
                <w:szCs w:val="22"/>
              </w:rPr>
            </w:pPr>
            <w:r>
              <w:rPr>
                <w:rFonts w:ascii="Times New Roman" w:hAnsi="Times New Roman"/>
                <w:sz w:val="22"/>
                <w:szCs w:val="22"/>
              </w:rPr>
            </w:r>
          </w:p>
        </w:tc>
        <w:tc>
          <w:tcPr>
            <w:tcW w:w="3412" w:type="dxa"/>
            <w:tcBorders>
              <w:top w:val="single" w:sz="4" w:space="0" w:color="000000"/>
              <w:left w:val="single" w:sz="4" w:space="0" w:color="000000"/>
              <w:bottom w:val="single" w:sz="4" w:space="0" w:color="000000"/>
              <w:right w:val="single" w:sz="4" w:space="0" w:color="000000"/>
            </w:tcBorders>
          </w:tcPr>
          <w:p>
            <w:pPr>
              <w:pStyle w:val="Normal"/>
              <w:snapToGrid w:val="false"/>
              <w:spacing w:lineRule="auto" w:line="240" w:before="0" w:after="0"/>
              <w:ind w:left="0" w:right="34" w:hanging="0"/>
              <w:jc w:val="center"/>
              <w:rPr>
                <w:rFonts w:ascii="Times New Roman" w:hAnsi="Times New Roman" w:cs="Times New Roman"/>
                <w:sz w:val="22"/>
                <w:szCs w:val="22"/>
              </w:rPr>
            </w:pPr>
            <w:r>
              <w:rPr>
                <w:rFonts w:cs="Times New Roman" w:ascii="Times New Roman" w:hAnsi="Times New Roman"/>
                <w:sz w:val="22"/>
                <w:szCs w:val="22"/>
              </w:rPr>
            </w:r>
          </w:p>
        </w:tc>
      </w:tr>
    </w:tbl>
    <w:p>
      <w:pPr>
        <w:pStyle w:val="Normal"/>
        <w:shd w:fill="FFFFFF" w:val="clear"/>
        <w:spacing w:lineRule="auto" w:line="240" w:before="0" w:after="0"/>
        <w:ind w:left="0" w:right="-282" w:firstLine="567"/>
        <w:jc w:val="center"/>
        <w:rPr>
          <w:rFonts w:ascii="Times New Roman" w:hAnsi="Times New Roman" w:cs="Times New Roman"/>
          <w:b/>
          <w:b/>
          <w:sz w:val="22"/>
          <w:szCs w:val="22"/>
        </w:rPr>
      </w:pPr>
      <w:r>
        <w:rPr>
          <w:rFonts w:cs="Times New Roman" w:ascii="Times New Roman" w:hAnsi="Times New Roman"/>
          <w:b/>
          <w:sz w:val="22"/>
          <w:szCs w:val="22"/>
        </w:rPr>
      </w:r>
    </w:p>
    <w:p>
      <w:pPr>
        <w:pStyle w:val="Normal"/>
        <w:shd w:fill="FFFFFF" w:val="clear"/>
        <w:spacing w:lineRule="auto" w:line="240" w:before="0" w:after="0"/>
        <w:ind w:left="0" w:right="-282" w:firstLine="567"/>
        <w:jc w:val="center"/>
        <w:rPr>
          <w:rFonts w:ascii="Times New Roman" w:hAnsi="Times New Roman" w:cs="Times New Roman"/>
          <w:b/>
          <w:b/>
          <w:sz w:val="22"/>
          <w:szCs w:val="22"/>
        </w:rPr>
      </w:pPr>
      <w:r>
        <w:rPr>
          <w:rFonts w:cs="Times New Roman" w:ascii="Times New Roman" w:hAnsi="Times New Roman"/>
          <w:b/>
          <w:sz w:val="22"/>
          <w:szCs w:val="22"/>
        </w:rPr>
      </w:r>
    </w:p>
    <w:p>
      <w:pPr>
        <w:pStyle w:val="Normal"/>
        <w:keepNext w:val="true"/>
        <w:numPr>
          <w:ilvl w:val="0"/>
          <w:numId w:val="0"/>
        </w:numPr>
        <w:shd w:fill="FFFFFF" w:val="clear"/>
        <w:autoSpaceDE w:val="true"/>
        <w:spacing w:lineRule="auto" w:line="240" w:before="0" w:after="0"/>
        <w:ind w:left="-70" w:right="-282" w:hanging="0"/>
        <w:jc w:val="right"/>
        <w:outlineLvl w:val="0"/>
        <w:rPr>
          <w:rFonts w:ascii="Times New Roman" w:hAnsi="Times New Roman" w:cs="Times New Roman"/>
          <w:b/>
          <w:b/>
          <w:color w:val="000000"/>
          <w:sz w:val="22"/>
          <w:szCs w:val="22"/>
        </w:rPr>
      </w:pPr>
      <w:r>
        <w:rPr>
          <w:rFonts w:cs="Times New Roman" w:ascii="Times New Roman" w:hAnsi="Times New Roman"/>
          <w:b/>
          <w:color w:val="000000"/>
          <w:sz w:val="22"/>
          <w:szCs w:val="22"/>
        </w:rPr>
      </w:r>
    </w:p>
    <w:tbl>
      <w:tblPr>
        <w:tblW w:w="9969" w:type="dxa"/>
        <w:jc w:val="left"/>
        <w:tblInd w:w="-75" w:type="dxa"/>
        <w:tblCellMar>
          <w:top w:w="0" w:type="dxa"/>
          <w:left w:w="108" w:type="dxa"/>
          <w:bottom w:w="0" w:type="dxa"/>
          <w:right w:w="108" w:type="dxa"/>
        </w:tblCellMar>
      </w:tblPr>
      <w:tblGrid>
        <w:gridCol w:w="5281"/>
        <w:gridCol w:w="4688"/>
      </w:tblGrid>
      <w:tr>
        <w:trPr>
          <w:trHeight w:val="231" w:hRule="atLeast"/>
        </w:trPr>
        <w:tc>
          <w:tcPr>
            <w:tcW w:w="5281" w:type="dxa"/>
            <w:tcBorders>
              <w:top w:val="single" w:sz="4" w:space="0" w:color="000000"/>
              <w:left w:val="single" w:sz="4" w:space="0" w:color="000000"/>
              <w:bottom w:val="single" w:sz="4" w:space="0" w:color="000000"/>
            </w:tcBorders>
          </w:tcPr>
          <w:p>
            <w:pPr>
              <w:pStyle w:val="Normal"/>
              <w:keepNext w:val="true"/>
              <w:numPr>
                <w:ilvl w:val="0"/>
                <w:numId w:val="0"/>
              </w:numPr>
              <w:autoSpaceDE w:val="true"/>
              <w:spacing w:lineRule="auto" w:line="240" w:before="0" w:after="0"/>
              <w:ind w:left="0" w:right="-282" w:hanging="0"/>
              <w:jc w:val="center"/>
              <w:outlineLvl w:val="0"/>
              <w:rPr>
                <w:rFonts w:ascii="Times New Roman" w:hAnsi="Times New Roman" w:cs="Times New Roman"/>
                <w:b/>
                <w:b/>
                <w:color w:val="000000"/>
                <w:sz w:val="22"/>
                <w:szCs w:val="22"/>
              </w:rPr>
            </w:pPr>
            <w:r>
              <w:rPr>
                <w:rFonts w:cs="Times New Roman" w:ascii="Times New Roman" w:hAnsi="Times New Roman"/>
                <w:b/>
                <w:color w:val="000000"/>
                <w:sz w:val="22"/>
                <w:szCs w:val="22"/>
              </w:rPr>
              <w:t>Сторона 1</w:t>
            </w:r>
          </w:p>
        </w:tc>
        <w:tc>
          <w:tcPr>
            <w:tcW w:w="4688" w:type="dxa"/>
            <w:tcBorders>
              <w:top w:val="single" w:sz="4" w:space="0" w:color="000000"/>
              <w:left w:val="single" w:sz="4" w:space="0" w:color="000000"/>
              <w:bottom w:val="single" w:sz="4" w:space="0" w:color="000000"/>
              <w:right w:val="single" w:sz="4" w:space="0" w:color="000000"/>
            </w:tcBorders>
          </w:tcPr>
          <w:p>
            <w:pPr>
              <w:pStyle w:val="Normal"/>
              <w:keepNext w:val="true"/>
              <w:numPr>
                <w:ilvl w:val="0"/>
                <w:numId w:val="0"/>
              </w:numPr>
              <w:autoSpaceDE w:val="true"/>
              <w:spacing w:lineRule="auto" w:line="240" w:before="0" w:after="0"/>
              <w:ind w:left="0" w:right="-282" w:hanging="0"/>
              <w:jc w:val="center"/>
              <w:outlineLvl w:val="0"/>
              <w:rPr>
                <w:rFonts w:ascii="Times New Roman" w:hAnsi="Times New Roman" w:cs="Times New Roman"/>
                <w:b/>
                <w:b/>
                <w:color w:val="000000"/>
                <w:sz w:val="22"/>
                <w:szCs w:val="22"/>
              </w:rPr>
            </w:pPr>
            <w:r>
              <w:rPr>
                <w:rFonts w:cs="Times New Roman" w:ascii="Times New Roman" w:hAnsi="Times New Roman"/>
                <w:b/>
                <w:color w:val="000000"/>
                <w:sz w:val="22"/>
                <w:szCs w:val="22"/>
              </w:rPr>
              <w:t>Сторона 2</w:t>
            </w:r>
          </w:p>
        </w:tc>
      </w:tr>
      <w:tr>
        <w:trPr>
          <w:trHeight w:val="1841" w:hRule="atLeast"/>
        </w:trPr>
        <w:tc>
          <w:tcPr>
            <w:tcW w:w="5281" w:type="dxa"/>
            <w:tcBorders>
              <w:top w:val="single" w:sz="4" w:space="0" w:color="000000"/>
              <w:left w:val="single" w:sz="4" w:space="0" w:color="000000"/>
              <w:bottom w:val="single" w:sz="4" w:space="0" w:color="000000"/>
            </w:tcBorders>
          </w:tcPr>
          <w:p>
            <w:pPr>
              <w:pStyle w:val="Normal"/>
              <w:overflowPunct w:val="false"/>
              <w:spacing w:lineRule="auto" w:line="240" w:before="0" w:after="0"/>
              <w:textAlignment w:val="baseline"/>
              <w:rPr>
                <w:rFonts w:ascii="Times New Roman" w:hAnsi="Times New Roman" w:cs="Times New Roman"/>
                <w:sz w:val="22"/>
                <w:szCs w:val="22"/>
              </w:rPr>
            </w:pPr>
            <w:r>
              <w:rPr>
                <w:rFonts w:cs="Times New Roman" w:ascii="Times New Roman" w:hAnsi="Times New Roman"/>
                <w:sz w:val="22"/>
                <w:szCs w:val="22"/>
              </w:rPr>
              <w:t>__________________________</w:t>
            </w:r>
          </w:p>
          <w:p>
            <w:pPr>
              <w:pStyle w:val="Normal"/>
              <w:overflowPunct w:val="false"/>
              <w:spacing w:lineRule="auto" w:line="240" w:before="0" w:after="0"/>
              <w:textAlignment w:val="baseline"/>
              <w:rPr>
                <w:rFonts w:ascii="Times New Roman" w:hAnsi="Times New Roman" w:cs="Times New Roman"/>
                <w:sz w:val="22"/>
                <w:szCs w:val="22"/>
              </w:rPr>
            </w:pPr>
            <w:r>
              <w:rPr>
                <w:rFonts w:cs="Times New Roman" w:ascii="Times New Roman" w:hAnsi="Times New Roman"/>
                <w:sz w:val="22"/>
                <w:szCs w:val="22"/>
              </w:rPr>
            </w:r>
          </w:p>
          <w:p>
            <w:pPr>
              <w:pStyle w:val="Normal"/>
              <w:keepNext w:val="true"/>
              <w:numPr>
                <w:ilvl w:val="0"/>
                <w:numId w:val="0"/>
              </w:numPr>
              <w:autoSpaceDE w:val="true"/>
              <w:spacing w:lineRule="auto" w:line="240" w:before="0" w:after="0"/>
              <w:ind w:left="0" w:hanging="0"/>
              <w:outlineLvl w:val="0"/>
              <w:rPr>
                <w:rFonts w:ascii="Times New Roman" w:hAnsi="Times New Roman" w:cs="Times New Roman"/>
                <w:sz w:val="22"/>
                <w:szCs w:val="22"/>
              </w:rPr>
            </w:pPr>
            <w:r>
              <w:rPr>
                <w:rFonts w:cs="Times New Roman" w:ascii="Times New Roman" w:hAnsi="Times New Roman"/>
                <w:sz w:val="22"/>
                <w:szCs w:val="22"/>
              </w:rPr>
              <w:t xml:space="preserve">М.П. ______________ </w:t>
            </w:r>
          </w:p>
        </w:tc>
        <w:tc>
          <w:tcPr>
            <w:tcW w:w="4688" w:type="dxa"/>
            <w:tcBorders>
              <w:top w:val="single" w:sz="4" w:space="0" w:color="000000"/>
              <w:left w:val="single" w:sz="4" w:space="0" w:color="000000"/>
              <w:bottom w:val="single" w:sz="4" w:space="0" w:color="000000"/>
              <w:right w:val="single" w:sz="4" w:space="0" w:color="000000"/>
            </w:tcBorders>
          </w:tcPr>
          <w:p>
            <w:pPr>
              <w:pStyle w:val="Normal"/>
              <w:overflowPunct w:val="false"/>
              <w:spacing w:lineRule="auto" w:line="240" w:before="0" w:after="0"/>
              <w:textAlignment w:val="baseline"/>
              <w:rPr>
                <w:rFonts w:ascii="Times New Roman" w:hAnsi="Times New Roman" w:cs="Times New Roman"/>
                <w:sz w:val="22"/>
                <w:szCs w:val="22"/>
              </w:rPr>
            </w:pPr>
            <w:r>
              <w:rPr>
                <w:rFonts w:cs="Times New Roman" w:ascii="Times New Roman" w:hAnsi="Times New Roman"/>
                <w:sz w:val="22"/>
                <w:szCs w:val="22"/>
              </w:rPr>
              <w:t>____________________________</w:t>
            </w:r>
          </w:p>
          <w:p>
            <w:pPr>
              <w:pStyle w:val="24"/>
              <w:spacing w:lineRule="auto" w:line="240" w:before="0" w:after="0"/>
              <w:ind w:left="0" w:right="0" w:firstLine="25"/>
              <w:rPr>
                <w:rFonts w:ascii="Times New Roman" w:hAnsi="Times New Roman" w:cs="Times New Roman"/>
                <w:sz w:val="22"/>
                <w:szCs w:val="22"/>
              </w:rPr>
            </w:pPr>
            <w:r>
              <w:rPr>
                <w:rFonts w:cs="Times New Roman" w:ascii="Times New Roman" w:hAnsi="Times New Roman"/>
                <w:sz w:val="22"/>
                <w:szCs w:val="22"/>
              </w:rPr>
            </w:r>
          </w:p>
          <w:p>
            <w:pPr>
              <w:pStyle w:val="24"/>
              <w:spacing w:lineRule="auto" w:line="240" w:before="0" w:after="0"/>
              <w:ind w:left="0" w:right="0" w:firstLine="25"/>
              <w:rPr>
                <w:rFonts w:ascii="Times New Roman" w:hAnsi="Times New Roman" w:cs="Times New Roman"/>
                <w:sz w:val="22"/>
                <w:szCs w:val="22"/>
              </w:rPr>
            </w:pPr>
            <w:r>
              <w:rPr>
                <w:rFonts w:cs="Times New Roman" w:ascii="Times New Roman" w:hAnsi="Times New Roman"/>
                <w:sz w:val="22"/>
                <w:szCs w:val="22"/>
              </w:rPr>
            </w:r>
          </w:p>
          <w:p>
            <w:pPr>
              <w:pStyle w:val="Normal"/>
              <w:overflowPunct w:val="false"/>
              <w:spacing w:lineRule="auto" w:line="240" w:before="0" w:after="0"/>
              <w:textAlignment w:val="baseline"/>
              <w:rPr>
                <w:rFonts w:ascii="Times New Roman" w:hAnsi="Times New Roman" w:cs="Times New Roman"/>
                <w:sz w:val="22"/>
                <w:szCs w:val="22"/>
              </w:rPr>
            </w:pPr>
            <w:r>
              <w:rPr>
                <w:rFonts w:cs="Times New Roman" w:ascii="Times New Roman" w:hAnsi="Times New Roman"/>
                <w:sz w:val="22"/>
                <w:szCs w:val="22"/>
              </w:rPr>
              <w:t xml:space="preserve">М.П.__________ </w:t>
            </w:r>
          </w:p>
        </w:tc>
      </w:tr>
    </w:tbl>
    <w:p>
      <w:pPr>
        <w:sectPr>
          <w:headerReference w:type="default" r:id="rId2"/>
          <w:headerReference w:type="first" r:id="rId3"/>
          <w:type w:val="nextPage"/>
          <w:pgSz w:w="11906" w:h="16838"/>
          <w:pgMar w:left="1418" w:right="1134" w:header="709" w:top="1134" w:footer="0" w:bottom="1134" w:gutter="0"/>
          <w:pgNumType w:start="1" w:fmt="decimal"/>
          <w:formProt w:val="false"/>
          <w:titlePg/>
          <w:textDirection w:val="lrTb"/>
          <w:docGrid w:type="default" w:linePitch="360" w:charSpace="4294963199"/>
        </w:sectPr>
      </w:pPr>
    </w:p>
    <w:p>
      <w:pPr>
        <w:pStyle w:val="Normal"/>
        <w:widowControl/>
        <w:autoSpaceDE w:val="true"/>
        <w:ind w:left="0" w:right="0" w:firstLine="11057"/>
        <w:rPr>
          <w:rFonts w:ascii="Times New Roman" w:hAnsi="Times New Roman" w:cs="Times New Roman"/>
          <w:color w:val="000000"/>
          <w:sz w:val="24"/>
          <w:szCs w:val="24"/>
          <w:lang w:eastAsia="en-US"/>
        </w:rPr>
      </w:pPr>
      <w:r>
        <w:rPr>
          <w:rFonts w:cs="Times New Roman" w:ascii="Times New Roman" w:hAnsi="Times New Roman"/>
          <w:color w:val="000000"/>
          <w:sz w:val="24"/>
          <w:szCs w:val="24"/>
          <w:lang w:eastAsia="en-US"/>
        </w:rPr>
      </w:r>
    </w:p>
    <w:p>
      <w:pPr>
        <w:pStyle w:val="Normal"/>
        <w:widowControl/>
        <w:autoSpaceDE w:val="true"/>
        <w:ind w:left="0" w:right="0" w:firstLine="11057"/>
        <w:rPr>
          <w:rFonts w:ascii="Times New Roman" w:hAnsi="Times New Roman" w:cs="Times New Roman"/>
          <w:sz w:val="28"/>
          <w:szCs w:val="28"/>
          <w:lang w:eastAsia="en-US"/>
        </w:rPr>
      </w:pPr>
      <w:r>
        <w:rPr>
          <w:rFonts w:cs="Times New Roman" w:ascii="Times New Roman" w:hAnsi="Times New Roman"/>
          <w:sz w:val="28"/>
          <w:szCs w:val="28"/>
          <w:lang w:eastAsia="en-US"/>
        </w:rPr>
        <w:t>Приложение № 3</w:t>
      </w:r>
    </w:p>
    <w:p>
      <w:pPr>
        <w:pStyle w:val="Normal"/>
        <w:widowControl/>
        <w:autoSpaceDE w:val="true"/>
        <w:jc w:val="right"/>
        <w:rPr>
          <w:rFonts w:ascii="Times New Roman" w:hAnsi="Times New Roman" w:cs="Times New Roman"/>
          <w:sz w:val="28"/>
          <w:szCs w:val="28"/>
          <w:lang w:eastAsia="en-US"/>
        </w:rPr>
      </w:pPr>
      <w:r>
        <w:rPr>
          <w:rFonts w:cs="Times New Roman" w:ascii="Times New Roman" w:hAnsi="Times New Roman"/>
          <w:sz w:val="28"/>
          <w:szCs w:val="28"/>
          <w:lang w:eastAsia="en-US"/>
        </w:rPr>
        <w:t>к договору ___________________</w:t>
      </w:r>
    </w:p>
    <w:p>
      <w:pPr>
        <w:pStyle w:val="Normal"/>
        <w:widowControl/>
        <w:autoSpaceDE w:val="true"/>
        <w:jc w:val="right"/>
        <w:rPr>
          <w:rFonts w:ascii="Times New Roman" w:hAnsi="Times New Roman" w:cs="Times New Roman"/>
          <w:sz w:val="28"/>
          <w:szCs w:val="28"/>
          <w:lang w:eastAsia="en-US"/>
        </w:rPr>
      </w:pPr>
      <w:r>
        <w:rPr>
          <w:rFonts w:cs="Times New Roman" w:ascii="Times New Roman" w:hAnsi="Times New Roman"/>
          <w:sz w:val="28"/>
          <w:szCs w:val="28"/>
          <w:lang w:eastAsia="en-US"/>
        </w:rPr>
      </w:r>
    </w:p>
    <w:p>
      <w:pPr>
        <w:pStyle w:val="Normal"/>
        <w:widowControl/>
        <w:autoSpaceDE w:val="true"/>
        <w:jc w:val="right"/>
        <w:rPr>
          <w:rFonts w:ascii="Times New Roman" w:hAnsi="Times New Roman" w:cs="Times New Roman"/>
          <w:sz w:val="28"/>
          <w:szCs w:val="28"/>
          <w:lang w:eastAsia="en-US"/>
        </w:rPr>
      </w:pPr>
      <w:r>
        <w:rPr>
          <w:rFonts w:cs="Times New Roman" w:ascii="Times New Roman" w:hAnsi="Times New Roman"/>
          <w:sz w:val="28"/>
          <w:szCs w:val="28"/>
          <w:lang w:eastAsia="en-US"/>
        </w:rPr>
      </w:r>
    </w:p>
    <w:p>
      <w:pPr>
        <w:pStyle w:val="Normal"/>
        <w:widowControl/>
        <w:autoSpaceDE w:val="true"/>
        <w:jc w:val="center"/>
        <w:rPr>
          <w:rFonts w:ascii="Times New Roman" w:hAnsi="Times New Roman" w:cs="Times New Roman"/>
          <w:sz w:val="28"/>
          <w:szCs w:val="28"/>
          <w:lang w:eastAsia="en-US"/>
        </w:rPr>
      </w:pPr>
      <w:r>
        <w:rPr>
          <w:rFonts w:cs="Times New Roman" w:ascii="Times New Roman" w:hAnsi="Times New Roman"/>
          <w:sz w:val="28"/>
          <w:szCs w:val="28"/>
          <w:lang w:eastAsia="en-US"/>
        </w:rPr>
        <w:t xml:space="preserve">Перечень документов, предоставляемых «Стороной 2» для принятия объекта под охрану </w:t>
      </w:r>
    </w:p>
    <w:p>
      <w:pPr>
        <w:pStyle w:val="Normal"/>
        <w:widowControl/>
        <w:autoSpaceDE w:val="true"/>
        <w:jc w:val="center"/>
        <w:rPr>
          <w:rFonts w:ascii="Times New Roman" w:hAnsi="Times New Roman" w:cs="Times New Roman"/>
          <w:sz w:val="28"/>
          <w:szCs w:val="28"/>
        </w:rPr>
      </w:pPr>
      <w:r>
        <w:rPr>
          <w:rFonts w:cs="Times New Roman" w:ascii="Times New Roman" w:hAnsi="Times New Roman"/>
          <w:sz w:val="28"/>
          <w:szCs w:val="28"/>
        </w:rPr>
        <w:t xml:space="preserve"> </w:t>
      </w:r>
    </w:p>
    <w:p>
      <w:pPr>
        <w:pStyle w:val="24"/>
        <w:numPr>
          <w:ilvl w:val="0"/>
          <w:numId w:val="3"/>
        </w:numPr>
        <w:spacing w:lineRule="auto" w:line="240" w:before="0" w:after="0"/>
        <w:ind w:left="644" w:right="-36" w:hanging="360"/>
        <w:jc w:val="both"/>
        <w:rPr>
          <w:rFonts w:ascii="Times New Roman" w:hAnsi="Times New Roman"/>
          <w:sz w:val="28"/>
          <w:szCs w:val="28"/>
        </w:rPr>
      </w:pPr>
      <w:r>
        <w:rPr>
          <w:rFonts w:ascii="Times New Roman" w:hAnsi="Times New Roman"/>
          <w:sz w:val="28"/>
          <w:szCs w:val="28"/>
        </w:rPr>
        <w:t>Копии документов, подтверждающие право собственности, иное законное право владения, пользования, распоряжения и (или) управления объектами.</w:t>
      </w:r>
    </w:p>
    <w:p>
      <w:pPr>
        <w:pStyle w:val="24"/>
        <w:numPr>
          <w:ilvl w:val="0"/>
          <w:numId w:val="3"/>
        </w:numPr>
        <w:spacing w:lineRule="auto" w:line="240" w:before="0" w:after="0"/>
        <w:ind w:left="644" w:right="-565" w:hanging="360"/>
        <w:jc w:val="both"/>
        <w:rPr/>
      </w:pPr>
      <w:r>
        <w:rPr>
          <w:rFonts w:ascii="Times New Roman" w:hAnsi="Times New Roman"/>
          <w:sz w:val="28"/>
          <w:szCs w:val="28"/>
        </w:rPr>
        <w:t>Оперативные карточки вновь принимаемых под охрану объектов.</w:t>
      </w:r>
      <w:r>
        <w:rPr>
          <w:rStyle w:val="Style11"/>
          <w:rStyle w:val="Style14"/>
          <w:rFonts w:ascii="Times New Roman" w:hAnsi="Times New Roman"/>
          <w:sz w:val="28"/>
          <w:szCs w:val="28"/>
        </w:rPr>
        <w:footnoteReference w:id="2"/>
      </w:r>
      <w:r>
        <w:rPr>
          <w:rFonts w:ascii="Times New Roman" w:hAnsi="Times New Roman"/>
          <w:sz w:val="28"/>
          <w:szCs w:val="28"/>
        </w:rPr>
        <w:t xml:space="preserve">  </w:t>
      </w:r>
    </w:p>
    <w:p>
      <w:pPr>
        <w:pStyle w:val="24"/>
        <w:numPr>
          <w:ilvl w:val="0"/>
          <w:numId w:val="3"/>
        </w:numPr>
        <w:spacing w:lineRule="auto" w:line="240" w:before="0" w:after="0"/>
        <w:ind w:left="644" w:right="-565" w:hanging="360"/>
        <w:jc w:val="both"/>
        <w:rPr>
          <w:rFonts w:ascii="Times New Roman" w:hAnsi="Times New Roman"/>
          <w:sz w:val="28"/>
          <w:szCs w:val="28"/>
        </w:rPr>
      </w:pPr>
      <w:r>
        <w:rPr>
          <w:rFonts w:ascii="Times New Roman" w:hAnsi="Times New Roman"/>
          <w:sz w:val="28"/>
          <w:szCs w:val="28"/>
        </w:rPr>
        <w:t>Список уполномоченных представителей объектов с указанием номеров их контактных телефонов.</w:t>
      </w:r>
    </w:p>
    <w:p>
      <w:pPr>
        <w:pStyle w:val="24"/>
        <w:numPr>
          <w:ilvl w:val="0"/>
          <w:numId w:val="3"/>
        </w:numPr>
        <w:spacing w:lineRule="auto" w:line="240" w:before="0" w:after="0"/>
        <w:ind w:left="644" w:right="-36" w:hanging="360"/>
        <w:jc w:val="both"/>
        <w:rPr>
          <w:rFonts w:ascii="Times New Roman" w:hAnsi="Times New Roman"/>
          <w:sz w:val="28"/>
          <w:szCs w:val="28"/>
        </w:rPr>
      </w:pPr>
      <w:r>
        <w:rPr>
          <w:rFonts w:ascii="Times New Roman" w:hAnsi="Times New Roman"/>
          <w:sz w:val="28"/>
          <w:szCs w:val="28"/>
        </w:rPr>
        <w:t>Копия доверенности, выданная третьим лицам «Стороне 2», на право заключение договора на обеспечение оперативного реагирования на тревожные сообщения.</w:t>
      </w:r>
    </w:p>
    <w:p>
      <w:pPr>
        <w:pStyle w:val="24"/>
        <w:widowControl/>
        <w:numPr>
          <w:ilvl w:val="0"/>
          <w:numId w:val="3"/>
        </w:numPr>
        <w:autoSpaceDE w:val="true"/>
        <w:spacing w:lineRule="auto" w:line="240" w:before="0" w:after="0"/>
        <w:ind w:left="644" w:right="-565" w:hanging="360"/>
        <w:jc w:val="both"/>
        <w:rPr>
          <w:rFonts w:ascii="Times New Roman" w:hAnsi="Times New Roman" w:cs="Times New Roman"/>
          <w:sz w:val="28"/>
          <w:szCs w:val="28"/>
          <w:lang w:eastAsia="en-US"/>
        </w:rPr>
      </w:pPr>
      <w:r>
        <w:rPr>
          <w:rFonts w:cs="Times New Roman" w:ascii="Times New Roman" w:hAnsi="Times New Roman"/>
          <w:sz w:val="28"/>
          <w:szCs w:val="28"/>
          <w:lang w:eastAsia="en-US"/>
        </w:rPr>
        <w:t>Копия договора на охрану объекта.</w:t>
      </w:r>
    </w:p>
    <w:sectPr>
      <w:headerReference w:type="default" r:id="rId4"/>
      <w:headerReference w:type="first" r:id="rId5"/>
      <w:footnotePr>
        <w:numFmt w:val="decimal"/>
      </w:footnotePr>
      <w:type w:val="nextPage"/>
      <w:pgSz w:orient="landscape" w:w="16838" w:h="11906"/>
      <w:pgMar w:left="1418" w:right="1134" w:header="720" w:top="1134" w:footer="0" w:bottom="1134" w:gutter="0"/>
      <w:pgNumType w:fmt="decimal"/>
      <w:formProt w:val="false"/>
      <w:titlePg/>
      <w:textDirection w:val="lrTb"/>
      <w:docGrid w:type="default" w:linePitch="360" w:charSpace="4294963199"/>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default"/>
  </w:font>
  <w:font w:name="Times New Roman">
    <w:charset w:val="cc"/>
    <w:family w:val="roman"/>
    <w:pitch w:val="variable"/>
  </w:font>
  <w:font w:name="Arial">
    <w:charset w:val="01"/>
    <w:family w:val="roman"/>
    <w:pitch w:val="default"/>
  </w:font>
  <w:font w:name="Times New Roman">
    <w:charset w:val="01"/>
    <w:family w:val="roman"/>
    <w:pitch w:val="default"/>
  </w:font>
  <w:font w:name="PT Astra Serif">
    <w:charset w:val="01"/>
    <w:family w:val="roman"/>
    <w:pitch w:val="default"/>
  </w:font>
  <w:font w:name="Courier New">
    <w:charset w:val="01"/>
    <w:family w:val="roman"/>
    <w:pitch w:val="default"/>
  </w:font>
  <w:font w:name="Arial">
    <w:charset w:val="cc"/>
    <w:family w:val="swiss"/>
    <w:pitch w:val="variable"/>
  </w:font>
  <w:font w:name="Times New Roman">
    <w:charset w:val="01"/>
    <w:family w:val="roman"/>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pPr>
        <w:rPr>
          <w:sz w:val="12"/>
        </w:rPr>
      </w:pPr>
      <w:r>
        <w:separator/>
      </w:r>
    </w:p>
  </w:footnote>
  <w:footnote w:id="1" w:type="continuationSeparator">
    <w:p>
      <w:pPr>
        <w:rPr>
          <w:sz w:val="12"/>
        </w:rPr>
      </w:pPr>
      <w:r>
        <w:continuationSeparator/>
      </w:r>
    </w:p>
  </w:footnote>
  <w:footnote w:id="2">
    <w:p>
      <w:pPr>
        <w:pStyle w:val="Style23"/>
        <w:suppressLineNumbers/>
        <w:spacing w:before="0" w:after="200"/>
        <w:ind w:left="339" w:hanging="339"/>
        <w:rPr/>
      </w:pPr>
      <w:r>
        <w:rPr>
          <w:rStyle w:val="Style11"/>
        </w:rPr>
        <w:footnoteRef/>
      </w:r>
      <w:r>
        <w:rPr/>
        <w:tab/>
        <w:t xml:space="preserve"> </w:t>
      </w:r>
      <w:r>
        <w:rPr>
          <w:rFonts w:cs="Times New Roman" w:ascii="Times New Roman" w:hAnsi="Times New Roman"/>
        </w:rPr>
        <w:t>Оперативные карточки направляются посредством ПАК ВсМК.</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6"/>
      <w:spacing w:before="0" w:after="200"/>
      <w:jc w:val="center"/>
      <w:rPr/>
    </w:pPr>
    <w:r>
      <w:rPr/>
      <w:fldChar w:fldCharType="begin"/>
    </w:r>
    <w:r>
      <w:rPr/>
      <w:instrText> PAGE </w:instrText>
    </w:r>
    <w:r>
      <w:rPr/>
      <w:fldChar w:fldCharType="separate"/>
    </w:r>
    <w:r>
      <w:rPr/>
      <w:t>2</w:t>
    </w:r>
    <w:r>
      <w:rPr/>
      <w:fldChar w:fldCharType="end"/>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6"/>
      <w:spacing w:before="0" w:after="200"/>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6"/>
      <w:spacing w:before="0" w:after="200"/>
      <w:rPr/>
    </w:pPr>
    <w:r>
      <w:rPr/>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6"/>
      <w:spacing w:before="0" w:after="200"/>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tabs>
          <w:tab w:val="num" w:pos="0"/>
        </w:tabs>
        <w:ind w:left="0" w:hanging="0"/>
      </w:pPr>
    </w:lvl>
    <w:lvl w:ilvl="1">
      <w:start w:val="1"/>
      <w:pStyle w:val="2"/>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none"/>
      <w:suff w:val="nothing"/>
      <w:lvlText w:val="."/>
      <w:lvlJc w:val="left"/>
      <w:pPr>
        <w:tabs>
          <w:tab w:val="num" w:pos="720"/>
        </w:tabs>
        <w:ind w:left="720" w:hanging="360"/>
      </w:pPr>
    </w:lvl>
    <w:lvl w:ilvl="1">
      <w:start w:val="1"/>
      <w:numFmt w:val="none"/>
      <w:suff w:val="nothing"/>
      <w:lvlText w:val="."/>
      <w:lvlJc w:val="left"/>
      <w:pPr>
        <w:tabs>
          <w:tab w:val="num" w:pos="1080"/>
        </w:tabs>
        <w:ind w:left="1080" w:hanging="360"/>
      </w:pPr>
    </w:lvl>
    <w:lvl w:ilvl="2">
      <w:start w:val="1"/>
      <w:numFmt w:val="none"/>
      <w:suff w:val="nothing"/>
      <w:lvlText w:val="."/>
      <w:lvlJc w:val="left"/>
      <w:pPr>
        <w:tabs>
          <w:tab w:val="num" w:pos="1440"/>
        </w:tabs>
        <w:ind w:left="1440" w:hanging="360"/>
      </w:pPr>
    </w:lvl>
    <w:lvl w:ilvl="3">
      <w:start w:val="1"/>
      <w:numFmt w:val="none"/>
      <w:suff w:val="nothing"/>
      <w:lvlText w:val="."/>
      <w:lvlJc w:val="left"/>
      <w:pPr>
        <w:tabs>
          <w:tab w:val="num" w:pos="1800"/>
        </w:tabs>
        <w:ind w:left="1800" w:hanging="360"/>
      </w:pPr>
    </w:lvl>
    <w:lvl w:ilvl="4">
      <w:start w:val="1"/>
      <w:numFmt w:val="none"/>
      <w:suff w:val="nothing"/>
      <w:lvlText w:val="."/>
      <w:lvlJc w:val="left"/>
      <w:pPr>
        <w:tabs>
          <w:tab w:val="num" w:pos="2160"/>
        </w:tabs>
        <w:ind w:left="2160" w:hanging="360"/>
      </w:pPr>
    </w:lvl>
    <w:lvl w:ilvl="5">
      <w:start w:val="1"/>
      <w:numFmt w:val="none"/>
      <w:suff w:val="nothing"/>
      <w:lvlText w:val="."/>
      <w:lvlJc w:val="left"/>
      <w:pPr>
        <w:tabs>
          <w:tab w:val="num" w:pos="2520"/>
        </w:tabs>
        <w:ind w:left="2520" w:hanging="360"/>
      </w:pPr>
    </w:lvl>
    <w:lvl w:ilvl="6">
      <w:start w:val="1"/>
      <w:numFmt w:val="none"/>
      <w:suff w:val="nothing"/>
      <w:lvlText w:val="."/>
      <w:lvlJc w:val="left"/>
      <w:pPr>
        <w:tabs>
          <w:tab w:val="num" w:pos="2880"/>
        </w:tabs>
        <w:ind w:left="2880" w:hanging="360"/>
      </w:pPr>
    </w:lvl>
    <w:lvl w:ilvl="7">
      <w:start w:val="1"/>
      <w:numFmt w:val="none"/>
      <w:suff w:val="nothing"/>
      <w:lvlText w:val="."/>
      <w:lvlJc w:val="left"/>
      <w:pPr>
        <w:tabs>
          <w:tab w:val="num" w:pos="3240"/>
        </w:tabs>
        <w:ind w:left="3240" w:hanging="360"/>
      </w:pPr>
    </w:lvl>
    <w:lvl w:ilvl="8">
      <w:start w:val="1"/>
      <w:numFmt w:val="none"/>
      <w:suff w:val="nothing"/>
      <w:lvlText w:val="."/>
      <w:lvlJc w:val="left"/>
      <w:pPr>
        <w:tabs>
          <w:tab w:val="num" w:pos="3600"/>
        </w:tabs>
        <w:ind w:left="3600" w:hanging="360"/>
      </w:pPr>
    </w:lvl>
  </w:abstractNum>
  <w:abstractNum w:abstractNumId="3">
    <w:lvl w:ilvl="0">
      <w:start w:val="1"/>
      <w:numFmt w:val="none"/>
      <w:suff w:val="nothing"/>
      <w:lvlText w:val="."/>
      <w:lvlJc w:val="left"/>
      <w:pPr>
        <w:tabs>
          <w:tab w:val="num" w:pos="720"/>
        </w:tabs>
        <w:ind w:left="720" w:hanging="360"/>
      </w:pPr>
    </w:lvl>
    <w:lvl w:ilvl="1">
      <w:start w:val="1"/>
      <w:numFmt w:val="none"/>
      <w:suff w:val="nothing"/>
      <w:lvlText w:val="."/>
      <w:lvlJc w:val="left"/>
      <w:pPr>
        <w:tabs>
          <w:tab w:val="num" w:pos="1080"/>
        </w:tabs>
        <w:ind w:left="1080" w:hanging="360"/>
      </w:pPr>
    </w:lvl>
    <w:lvl w:ilvl="2">
      <w:start w:val="1"/>
      <w:numFmt w:val="none"/>
      <w:suff w:val="nothing"/>
      <w:lvlText w:val="."/>
      <w:lvlJc w:val="left"/>
      <w:pPr>
        <w:tabs>
          <w:tab w:val="num" w:pos="1440"/>
        </w:tabs>
        <w:ind w:left="1440" w:hanging="360"/>
      </w:pPr>
    </w:lvl>
    <w:lvl w:ilvl="3">
      <w:start w:val="1"/>
      <w:numFmt w:val="none"/>
      <w:suff w:val="nothing"/>
      <w:lvlText w:val="."/>
      <w:lvlJc w:val="left"/>
      <w:pPr>
        <w:tabs>
          <w:tab w:val="num" w:pos="1800"/>
        </w:tabs>
        <w:ind w:left="1800" w:hanging="360"/>
      </w:pPr>
    </w:lvl>
    <w:lvl w:ilvl="4">
      <w:start w:val="1"/>
      <w:numFmt w:val="none"/>
      <w:suff w:val="nothing"/>
      <w:lvlText w:val="."/>
      <w:lvlJc w:val="left"/>
      <w:pPr>
        <w:tabs>
          <w:tab w:val="num" w:pos="2160"/>
        </w:tabs>
        <w:ind w:left="2160" w:hanging="360"/>
      </w:pPr>
    </w:lvl>
    <w:lvl w:ilvl="5">
      <w:start w:val="1"/>
      <w:numFmt w:val="none"/>
      <w:suff w:val="nothing"/>
      <w:lvlText w:val="."/>
      <w:lvlJc w:val="left"/>
      <w:pPr>
        <w:tabs>
          <w:tab w:val="num" w:pos="2520"/>
        </w:tabs>
        <w:ind w:left="2520" w:hanging="360"/>
      </w:pPr>
    </w:lvl>
    <w:lvl w:ilvl="6">
      <w:start w:val="1"/>
      <w:numFmt w:val="none"/>
      <w:suff w:val="nothing"/>
      <w:lvlText w:val="."/>
      <w:lvlJc w:val="left"/>
      <w:pPr>
        <w:tabs>
          <w:tab w:val="num" w:pos="2880"/>
        </w:tabs>
        <w:ind w:left="2880" w:hanging="360"/>
      </w:pPr>
    </w:lvl>
    <w:lvl w:ilvl="7">
      <w:start w:val="1"/>
      <w:numFmt w:val="none"/>
      <w:suff w:val="nothing"/>
      <w:lvlText w:val="."/>
      <w:lvlJc w:val="left"/>
      <w:pPr>
        <w:tabs>
          <w:tab w:val="num" w:pos="3240"/>
        </w:tabs>
        <w:ind w:left="3240" w:hanging="360"/>
      </w:pPr>
    </w:lvl>
    <w:lvl w:ilvl="8">
      <w:start w:val="1"/>
      <w:numFmt w:val="none"/>
      <w:suff w:val="nothing"/>
      <w:lvlText w:val="."/>
      <w:lvlJc w:val="left"/>
      <w:pPr>
        <w:tabs>
          <w:tab w:val="num" w:pos="3600"/>
        </w:tabs>
        <w:ind w:left="3600" w:hanging="36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autoHyphenation w:val="true"/>
  <w:footnotePr>
    <w:numFmt w:val="decimal"/>
    <w:footnote w:id="0"/>
    <w:footnote w:id="1"/>
  </w:foot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suppressAutoHyphens w:val="tru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paragraph" w:styleId="1">
    <w:name w:val="Heading 1"/>
    <w:basedOn w:val="Normal"/>
    <w:next w:val="Normal"/>
    <w:qFormat/>
    <w:pPr>
      <w:keepNext w:val="true"/>
      <w:numPr>
        <w:ilvl w:val="0"/>
        <w:numId w:val="1"/>
      </w:numPr>
      <w:autoSpaceDE w:val="true"/>
      <w:ind w:left="-70" w:right="0" w:firstLine="1560"/>
      <w:jc w:val="center"/>
      <w:outlineLvl w:val="0"/>
    </w:pPr>
    <w:rPr>
      <w:rFonts w:ascii="Times New Roman" w:hAnsi="Times New Roman" w:cs="Times New Roman"/>
      <w:b/>
    </w:rPr>
  </w:style>
  <w:style w:type="paragraph" w:styleId="2">
    <w:name w:val="Heading 2"/>
    <w:basedOn w:val="Normal"/>
    <w:next w:val="Normal"/>
    <w:qFormat/>
    <w:pPr>
      <w:keepNext w:val="true"/>
      <w:widowControl w:val="false"/>
      <w:numPr>
        <w:ilvl w:val="1"/>
        <w:numId w:val="1"/>
      </w:numPr>
      <w:spacing w:before="240" w:after="60"/>
      <w:outlineLvl w:val="1"/>
    </w:pPr>
    <w:rPr>
      <w:rFonts w:ascii="Arial" w:hAnsi="Arial" w:cs="Arial"/>
      <w:b/>
      <w:bCs/>
      <w:i/>
      <w:iCs/>
      <w:sz w:val="24"/>
      <w:szCs w:val="24"/>
    </w:rPr>
  </w:style>
  <w:style w:type="paragraph" w:styleId="3">
    <w:name w:val="Heading 3"/>
    <w:basedOn w:val="Normal"/>
    <w:next w:val="Normal"/>
    <w:qFormat/>
    <w:pPr>
      <w:keepNext w:val="true"/>
      <w:numPr>
        <w:ilvl w:val="2"/>
        <w:numId w:val="1"/>
      </w:numPr>
      <w:ind w:left="-70" w:right="0" w:hanging="0"/>
      <w:outlineLvl w:val="2"/>
    </w:pPr>
    <w:rPr>
      <w:rFonts w:ascii="Times New Roman" w:hAnsi="Times New Roman" w:cs="Times New Roman"/>
      <w:sz w:val="24"/>
    </w:rPr>
  </w:style>
  <w:style w:type="character" w:styleId="DefaultParagraphFont" w:default="1">
    <w:name w:val="Default Paragraph Font"/>
    <w:uiPriority w:val="1"/>
    <w:semiHidden/>
    <w:unhideWhenUsed/>
    <w:qFormat/>
    <w:rPr/>
  </w:style>
  <w:style w:type="character" w:styleId="WW8Num23z0">
    <w:name w:val="WW8Num23z0"/>
    <w:qFormat/>
    <w:rPr>
      <w:rFonts w:ascii="Times New Roman" w:hAnsi="Times New Roman" w:cs="Times New Roman"/>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14z0">
    <w:name w:val="WW8Num14z0"/>
    <w:qFormat/>
    <w:rPr/>
  </w:style>
  <w:style w:type="character" w:styleId="WW8Num2z0">
    <w:name w:val="WW8Num2z0"/>
    <w:qFormat/>
    <w:rPr>
      <w:sz w:val="24"/>
      <w:szCs w:val="24"/>
    </w:rPr>
  </w:style>
  <w:style w:type="character" w:styleId="Style11">
    <w:name w:val="Символ сноски"/>
    <w:qFormat/>
    <w:rPr>
      <w:vertAlign w:val="superscript"/>
    </w:rPr>
  </w:style>
  <w:style w:type="character" w:styleId="Style12">
    <w:name w:val="Интернет-ссылка"/>
    <w:rPr>
      <w:color w:val="0000FF"/>
      <w:u w:val="single"/>
    </w:rPr>
  </w:style>
  <w:style w:type="character" w:styleId="Style13">
    <w:name w:val="Посещённая гиперссылка"/>
    <w:rPr>
      <w:color w:val="954F72"/>
      <w:u w:val="single"/>
    </w:rPr>
  </w:style>
  <w:style w:type="character" w:styleId="Style14">
    <w:name w:val="Привязка сноски"/>
    <w:rPr>
      <w:vertAlign w:val="superscript"/>
    </w:rPr>
  </w:style>
  <w:style w:type="character" w:styleId="WW8Num4z0">
    <w:name w:val="WW8Num4z0"/>
    <w:qFormat/>
    <w:rPr>
      <w:rFonts w:cs="Times New Roman"/>
    </w:rPr>
  </w:style>
  <w:style w:type="character" w:styleId="WW8Num3z0">
    <w:name w:val="WW8Num3z0"/>
    <w:qFormat/>
    <w:rPr>
      <w:rFonts w:cs="Times New Roman"/>
      <w:sz w:val="26"/>
      <w:szCs w:val="26"/>
    </w:rPr>
  </w:style>
  <w:style w:type="character" w:styleId="Style15">
    <w:name w:val="Привязка концевой сноски"/>
    <w:rPr>
      <w:vertAlign w:val="superscript"/>
    </w:rPr>
  </w:style>
  <w:style w:type="character" w:styleId="Style16">
    <w:name w:val="Символ концевой сноски"/>
    <w:qFormat/>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FontStyle23">
    <w:name w:val="Font Style23"/>
    <w:qFormat/>
    <w:rPr>
      <w:rFonts w:ascii="Times New Roman" w:hAnsi="Times New Roman" w:cs="Times New Roman"/>
      <w:sz w:val="24"/>
      <w:szCs w:val="24"/>
    </w:rPr>
  </w:style>
  <w:style w:type="character" w:styleId="Jsphonenumber">
    <w:name w:val="js-phone-number"/>
    <w:qFormat/>
    <w:rPr/>
  </w:style>
  <w:style w:type="paragraph" w:styleId="Style17">
    <w:name w:val="Заголовок"/>
    <w:basedOn w:val="Normal"/>
    <w:next w:val="Style18"/>
    <w:qFormat/>
    <w:pPr>
      <w:keepNext w:val="true"/>
      <w:spacing w:before="240" w:after="120"/>
    </w:pPr>
    <w:rPr>
      <w:rFonts w:ascii="PT Astra Serif" w:hAnsi="PT Astra Serif" w:eastAsia="Tahoma" w:cs="Noto Sans Devanagari"/>
      <w:sz w:val="28"/>
      <w:szCs w:val="28"/>
    </w:rPr>
  </w:style>
  <w:style w:type="paragraph" w:styleId="Style18">
    <w:name w:val="Body Text"/>
    <w:basedOn w:val="Normal"/>
    <w:pPr>
      <w:spacing w:lineRule="auto" w:line="276" w:before="0" w:after="140"/>
    </w:pPr>
    <w:rPr/>
  </w:style>
  <w:style w:type="paragraph" w:styleId="Style19">
    <w:name w:val="List"/>
    <w:basedOn w:val="Style18"/>
    <w:pPr/>
    <w:rPr>
      <w:rFonts w:ascii="PT Astra Serif" w:hAnsi="PT Astra Serif" w:cs="Noto Sans Devanagari"/>
    </w:rPr>
  </w:style>
  <w:style w:type="paragraph" w:styleId="Style20">
    <w:name w:val="Caption"/>
    <w:basedOn w:val="Normal"/>
    <w:qFormat/>
    <w:pPr>
      <w:suppressLineNumbers/>
      <w:spacing w:before="120" w:after="120"/>
    </w:pPr>
    <w:rPr>
      <w:rFonts w:ascii="PT Astra Serif" w:hAnsi="PT Astra Serif" w:cs="Noto Sans Devanagari"/>
      <w:i/>
      <w:iCs/>
      <w:sz w:val="24"/>
      <w:szCs w:val="24"/>
    </w:rPr>
  </w:style>
  <w:style w:type="paragraph" w:styleId="Style21">
    <w:name w:val="Указатель"/>
    <w:basedOn w:val="Normal"/>
    <w:qFormat/>
    <w:pPr>
      <w:suppressLineNumbers/>
    </w:pPr>
    <w:rPr>
      <w:rFonts w:ascii="PT Astra Serif" w:hAnsi="PT Astra Serif" w:cs="Noto Sans Devanagari"/>
    </w:rPr>
  </w:style>
  <w:style w:type="paragraph" w:styleId="31">
    <w:name w:val="Список 3"/>
    <w:basedOn w:val="Normal"/>
    <w:qFormat/>
    <w:pPr>
      <w:widowControl w:val="false"/>
      <w:ind w:left="849" w:hanging="283"/>
    </w:pPr>
    <w:rPr>
      <w:sz w:val="20"/>
    </w:rPr>
  </w:style>
  <w:style w:type="paragraph" w:styleId="21">
    <w:name w:val="Список 2"/>
    <w:basedOn w:val="Normal"/>
    <w:qFormat/>
    <w:pPr>
      <w:widowControl w:val="false"/>
      <w:ind w:left="566" w:hanging="283"/>
    </w:pPr>
    <w:rPr>
      <w:sz w:val="20"/>
    </w:rPr>
  </w:style>
  <w:style w:type="paragraph" w:styleId="22">
    <w:name w:val="Продолжение списка 2"/>
    <w:basedOn w:val="Normal"/>
    <w:qFormat/>
    <w:pPr>
      <w:widowControl w:val="false"/>
      <w:spacing w:before="0" w:after="120"/>
      <w:ind w:left="566" w:hanging="0"/>
    </w:pPr>
    <w:rPr>
      <w:sz w:val="20"/>
    </w:rPr>
  </w:style>
  <w:style w:type="paragraph" w:styleId="23">
    <w:name w:val="Основной текст с отступом 2"/>
    <w:basedOn w:val="Normal"/>
    <w:qFormat/>
    <w:pPr>
      <w:ind w:firstLine="284"/>
      <w:jc w:val="both"/>
    </w:pPr>
    <w:rPr>
      <w:sz w:val="24"/>
      <w:szCs w:val="24"/>
    </w:rPr>
  </w:style>
  <w:style w:type="paragraph" w:styleId="32">
    <w:name w:val="Основной текст 3"/>
    <w:basedOn w:val="Normal"/>
    <w:qFormat/>
    <w:pPr>
      <w:jc w:val="both"/>
    </w:pPr>
    <w:rPr>
      <w:sz w:val="24"/>
      <w:szCs w:val="24"/>
    </w:rPr>
  </w:style>
  <w:style w:type="paragraph" w:styleId="Style22">
    <w:name w:val="Абзац списка"/>
    <w:basedOn w:val="Normal"/>
    <w:qFormat/>
    <w:pPr>
      <w:spacing w:before="0" w:after="0"/>
      <w:ind w:left="720" w:right="0" w:hanging="0"/>
      <w:contextualSpacing/>
    </w:pPr>
    <w:rPr/>
  </w:style>
  <w:style w:type="paragraph" w:styleId="Style23">
    <w:name w:val="Footnote Text"/>
    <w:basedOn w:val="Normal"/>
    <w:pPr>
      <w:suppressLineNumbers/>
      <w:ind w:left="339" w:hanging="339"/>
    </w:pPr>
    <w:rPr>
      <w:sz w:val="20"/>
      <w:szCs w:val="20"/>
    </w:rPr>
  </w:style>
  <w:style w:type="paragraph" w:styleId="Style24">
    <w:name w:val="Без интервала"/>
    <w:qFormat/>
    <w:pPr>
      <w:widowControl w:val="false"/>
      <w:suppressAutoHyphens w:val="true"/>
      <w:bidi w:val="0"/>
      <w:spacing w:before="0" w:after="0"/>
      <w:jc w:val="left"/>
    </w:pPr>
    <w:rPr>
      <w:rFonts w:ascii="Times New Roman" w:hAnsi="Times New Roman" w:eastAsia="Times New Roman" w:cs="Times New Roman"/>
      <w:color w:val="auto"/>
      <w:kern w:val="0"/>
      <w:sz w:val="20"/>
      <w:szCs w:val="20"/>
      <w:lang w:val="ru-RU" w:eastAsia="zh-CN" w:bidi="ar-SA"/>
    </w:rPr>
  </w:style>
  <w:style w:type="paragraph" w:styleId="11">
    <w:name w:val="Обычный1"/>
    <w:qFormat/>
    <w:pPr>
      <w:widowControl w:val="false"/>
      <w:suppressAutoHyphens w:val="true"/>
      <w:bidi w:val="0"/>
      <w:spacing w:before="0" w:after="0"/>
      <w:jc w:val="left"/>
    </w:pPr>
    <w:rPr>
      <w:rFonts w:ascii="Courier New" w:hAnsi="Courier New" w:eastAsia="Times New Roman" w:cs="Courier New"/>
      <w:color w:val="auto"/>
      <w:kern w:val="0"/>
      <w:sz w:val="20"/>
      <w:szCs w:val="20"/>
      <w:lang w:val="ru-RU" w:eastAsia="zh-CN" w:bidi="ar-SA"/>
    </w:rPr>
  </w:style>
  <w:style w:type="paragraph" w:styleId="Style25">
    <w:name w:val="Body Text Indent"/>
    <w:basedOn w:val="Normal"/>
    <w:pPr>
      <w:spacing w:before="0" w:after="120"/>
      <w:ind w:left="283" w:right="0" w:hanging="0"/>
    </w:pPr>
    <w:rPr/>
  </w:style>
  <w:style w:type="paragraph" w:styleId="24">
    <w:name w:val="Основной текст 2"/>
    <w:basedOn w:val="Normal"/>
    <w:qFormat/>
    <w:pPr>
      <w:jc w:val="both"/>
    </w:pPr>
    <w:rPr>
      <w:sz w:val="20"/>
    </w:rPr>
  </w:style>
  <w:style w:type="paragraph" w:styleId="Preformat">
    <w:name w:val="Preformat"/>
    <w:qFormat/>
    <w:pPr>
      <w:widowControl/>
      <w:suppressAutoHyphens w:val="true"/>
      <w:bidi w:val="0"/>
      <w:spacing w:before="0" w:after="0"/>
      <w:jc w:val="left"/>
    </w:pPr>
    <w:rPr>
      <w:rFonts w:ascii="Courier New" w:hAnsi="Courier New" w:eastAsia="Times New Roman" w:cs="Courier New"/>
      <w:color w:val="auto"/>
      <w:kern w:val="0"/>
      <w:sz w:val="20"/>
      <w:szCs w:val="20"/>
      <w:lang w:val="ru-RU" w:eastAsia="en-US" w:bidi="ar-SA"/>
    </w:rPr>
  </w:style>
  <w:style w:type="paragraph" w:styleId="ConsPlusNormal">
    <w:name w:val="ConsPlusNormal"/>
    <w:qFormat/>
    <w:pPr>
      <w:widowControl w:val="false"/>
      <w:suppressAutoHyphens w:val="true"/>
      <w:autoSpaceDE w:val="false"/>
      <w:bidi w:val="0"/>
      <w:spacing w:before="0" w:after="0"/>
      <w:ind w:left="0" w:right="0" w:firstLine="720"/>
      <w:jc w:val="left"/>
    </w:pPr>
    <w:rPr>
      <w:rFonts w:ascii="Arial" w:hAnsi="Arial" w:eastAsia="Times New Roman" w:cs="Arial"/>
      <w:color w:val="auto"/>
      <w:kern w:val="0"/>
      <w:sz w:val="20"/>
      <w:szCs w:val="20"/>
      <w:lang w:val="ru-RU" w:eastAsia="zh-CN" w:bidi="ar-SA"/>
    </w:rPr>
  </w:style>
  <w:style w:type="paragraph" w:styleId="Style26">
    <w:name w:val="Header"/>
    <w:basedOn w:val="Normal"/>
    <w:pPr>
      <w:tabs>
        <w:tab w:val="clear" w:pos="708"/>
        <w:tab w:val="center" w:pos="4153" w:leader="none"/>
        <w:tab w:val="right" w:pos="8306" w:leader="none"/>
      </w:tabs>
    </w:pPr>
    <w:rPr/>
  </w:style>
  <w:style w:type="numbering" w:styleId="NoList" w:default="1">
    <w:name w:val="No List"/>
    <w:uiPriority w:val="99"/>
    <w:semiHidden/>
    <w:unhideWhenUsed/>
    <w:qFormat/>
  </w:style>
  <w:style w:type="numbering" w:styleId="WW8Num23">
    <w:name w:val="WW8Num23"/>
    <w:qFormat/>
  </w:style>
  <w:style w:type="numbering" w:styleId="WW8Num14">
    <w:name w:val="WW8Num14"/>
    <w:qFormat/>
  </w:style>
  <w:style w:type="numbering" w:styleId="WW8Num2">
    <w:name w:val="WW8Num2"/>
    <w:qFormat/>
  </w:style>
  <w:style w:type="numbering" w:styleId="WW8Num4">
    <w:name w:val="WW8Num4"/>
    <w:qFormat/>
  </w:style>
  <w:style w:type="numbering" w:styleId="WW8Num3">
    <w:name w:val="WW8Num3"/>
    <w:qFormat/>
  </w:style>
  <w:style w:type="numbering" w:styleId="WW8Num1">
    <w:name w:val="WW8Num1"/>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header" Target="header4.xml"/><Relationship Id="rId6" Type="http://schemas.openxmlformats.org/officeDocument/2006/relationships/footnotes" Target="footnotes.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Application>LibreOffice/6.4.7.2$Linux_X86_64 LibreOffice_project/40$Build-2</Application>
  <Pages>8</Pages>
  <Words>2622</Words>
  <Characters>17667</Characters>
  <CharactersWithSpaces>20192</CharactersWithSpaces>
  <Paragraphs>120</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2025-12-17T12:02:00Z</dcterms:created>
  <dc:creator>Салимов Рузаль Русланович</dc:creator>
  <dc:description/>
  <dc:language>ru-RU</dc:language>
  <cp:lastModifiedBy/>
  <dcterms:modified xsi:type="dcterms:W3CDTF">2025-12-17T15:45:18Z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